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fonts/font19.odttf" ContentType="application/vnd.openxmlformats-officedocument.obfuscatedFont"/>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spacing w:lineRule="auto" w:line="240" w:before="240" w:after="240"/>
        <w:jc w:val="center"/>
        <w:rPr>
          <w:rFonts w:ascii="Times New Roman" w:hAnsi="Times New Roman" w:eastAsia="Times New Roman" w:cs="Times New Roman"/>
          <w:b/>
          <w:sz w:val="24"/>
          <w:szCs w:val="24"/>
          <w:highlight w:val="yellow"/>
        </w:rPr>
      </w:pPr>
      <w:r>
        <w:rPr>
          <w:rFonts w:eastAsia="Times New Roman" w:cs="Times New Roman" w:ascii="Times New Roman" w:hAnsi="Times New Roman"/>
          <w:b/>
          <w:sz w:val="24"/>
          <w:szCs w:val="24"/>
        </w:rPr>
        <w:t>Договор №</w:t>
      </w:r>
      <w:r>
        <w:rPr>
          <w:rFonts w:eastAsia="Times New Roman" w:cs="Times New Roman" w:ascii="Times New Roman" w:hAnsi="Times New Roman"/>
          <w:b/>
          <w:sz w:val="24"/>
          <w:szCs w:val="24"/>
          <w:highlight w:val="yellow"/>
        </w:rPr>
        <w:t>_____</w:t>
      </w:r>
    </w:p>
    <w:p>
      <w:pPr>
        <w:pStyle w:val="Normal"/>
        <w:spacing w:lineRule="auto" w:line="240" w:before="240" w:after="24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участия в долевом строительстве</w:t>
      </w:r>
    </w:p>
    <w:p>
      <w:pPr>
        <w:pStyle w:val="Normal"/>
        <w:spacing w:before="24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г. Омск </w:t>
      </w:r>
    </w:p>
    <w:p>
      <w:pPr>
        <w:pStyle w:val="Normal"/>
        <w:spacing w:before="240" w:after="24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t>"</w:t>
      </w:r>
      <w:r>
        <w:rPr>
          <w:rFonts w:eastAsia="Times New Roman" w:cs="Times New Roman" w:ascii="Times New Roman" w:hAnsi="Times New Roman"/>
          <w:sz w:val="24"/>
          <w:szCs w:val="24"/>
          <w:highlight w:val="yellow"/>
        </w:rPr>
        <w:t>___</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highlight w:val="yellow"/>
        </w:rPr>
        <w:t xml:space="preserve">_________ </w:t>
      </w:r>
      <w:r>
        <w:rPr>
          <w:rFonts w:eastAsia="Times New Roman" w:cs="Times New Roman" w:ascii="Times New Roman" w:hAnsi="Times New Roman"/>
          <w:sz w:val="24"/>
          <w:szCs w:val="24"/>
        </w:rPr>
        <w:t>20</w:t>
      </w:r>
      <w:r>
        <w:rPr>
          <w:rFonts w:eastAsia="Times New Roman" w:cs="Times New Roman" w:ascii="Times New Roman" w:hAnsi="Times New Roman"/>
          <w:sz w:val="24"/>
          <w:szCs w:val="24"/>
          <w:highlight w:val="yellow"/>
        </w:rPr>
        <w:t>__</w:t>
      </w:r>
      <w:r>
        <w:rPr>
          <w:rFonts w:eastAsia="Times New Roman" w:cs="Times New Roman" w:ascii="Times New Roman" w:hAnsi="Times New Roman"/>
          <w:sz w:val="24"/>
          <w:szCs w:val="24"/>
        </w:rPr>
        <w:t xml:space="preserve"> г.</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Общество с ограниченной ответственностью Специализированный застройщик «Завод строительных конструкций № 1»</w:t>
      </w:r>
      <w:r>
        <w:rPr>
          <w:rFonts w:eastAsia="Times New Roman" w:cs="Times New Roman" w:ascii="Times New Roman" w:hAnsi="Times New Roman"/>
          <w:sz w:val="24"/>
          <w:szCs w:val="24"/>
        </w:rPr>
        <w:t xml:space="preserve">, именуемое в дальнейшем </w:t>
      </w:r>
      <w:r>
        <w:rPr>
          <w:rFonts w:eastAsia="Times New Roman" w:cs="Times New Roman" w:ascii="Times New Roman" w:hAnsi="Times New Roman"/>
          <w:b/>
          <w:sz w:val="24"/>
          <w:szCs w:val="24"/>
        </w:rPr>
        <w:t>Застройщик,</w:t>
      </w:r>
      <w:r>
        <w:rPr>
          <w:rFonts w:eastAsia="Times New Roman" w:cs="Times New Roman" w:ascii="Times New Roman" w:hAnsi="Times New Roman"/>
          <w:sz w:val="24"/>
          <w:szCs w:val="24"/>
        </w:rPr>
        <w:t xml:space="preserve"> в лице директора Канева Александра Прокопьевича, действующего на основании Устава Общества, местонахождение: Омская область, город Омск, улица 1-я Заводская, д. 35, с одной стороны, и  </w:t>
      </w:r>
    </w:p>
    <w:p>
      <w:pPr>
        <w:pStyle w:val="Normal"/>
        <w:spacing w:before="240" w:after="24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highlight w:val="yellow"/>
        </w:rPr>
        <w:t>ФИО___________________________________________, дата рожд. _____________, место рождения: ______________________________, паспорт ______ №_________, выдан __________________________________________, к.п. _________, зарегистрирован по адресу: _______________________________________________________</w:t>
      </w:r>
      <w:r>
        <w:rPr>
          <w:rFonts w:eastAsia="Times New Roman" w:cs="Times New Roman" w:ascii="Times New Roman" w:hAnsi="Times New Roman"/>
          <w:b/>
          <w:sz w:val="24"/>
          <w:szCs w:val="24"/>
        </w:rPr>
        <w:t>,</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именуемый в дальнейшем Участник долевого строительства/Дольщик, с другой стороны,</w:t>
      </w: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далее совместно именуемые «Стороны», в соответствии с Федеральным законом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заключили настоящий договор о нижеследующем:</w:t>
      </w:r>
    </w:p>
    <w:p>
      <w:pPr>
        <w:pStyle w:val="Normal"/>
        <w:spacing w:before="240" w:after="24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1. Предмет договора</w:t>
      </w:r>
    </w:p>
    <w:p>
      <w:pPr>
        <w:pStyle w:val="Normal"/>
        <w:spacing w:before="240" w:after="24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rPr>
        <w:t xml:space="preserve">1.1. Предметом настоящего договора является Объект долевого строительства/Объект – квартира, назначение – жилое помещение, со следующими основными характеристиками </w:t>
      </w:r>
      <w:r>
        <w:rPr>
          <w:rFonts w:eastAsia="Times New Roman" w:cs="Times New Roman" w:ascii="Times New Roman" w:hAnsi="Times New Roman"/>
          <w:b/>
          <w:sz w:val="24"/>
          <w:szCs w:val="24"/>
          <w:highlight w:val="white"/>
        </w:rPr>
        <w:t>(ID ОДС 67053)</w:t>
      </w:r>
      <w:r>
        <w:rPr>
          <w:rFonts w:eastAsia="Times New Roman" w:cs="Times New Roman" w:ascii="Times New Roman" w:hAnsi="Times New Roman"/>
          <w:b/>
          <w:sz w:val="24"/>
          <w:szCs w:val="24"/>
        </w:rPr>
        <w:t>:</w:t>
      </w:r>
    </w:p>
    <w:tbl>
      <w:tblPr>
        <w:tblStyle w:val="af"/>
        <w:tblW w:w="9645"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780"/>
        <w:gridCol w:w="1170"/>
        <w:gridCol w:w="1319"/>
        <w:gridCol w:w="1080"/>
        <w:gridCol w:w="1126"/>
        <w:gridCol w:w="2610"/>
        <w:gridCol w:w="1559"/>
      </w:tblGrid>
      <w:tr>
        <w:trPr>
          <w:trHeight w:val="3143" w:hRule="atLeast"/>
        </w:trPr>
        <w:tc>
          <w:tcPr>
            <w:tcW w:w="78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before="240" w:after="240"/>
              <w:ind w:left="-100" w:hanging="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Этаж</w:t>
            </w:r>
          </w:p>
        </w:tc>
        <w:tc>
          <w:tcPr>
            <w:tcW w:w="117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rPr>
                <w:rFonts w:ascii="Times New Roman" w:hAnsi="Times New Roman" w:eastAsia="Times New Roman" w:cs="Times New Roman"/>
                <w:b/>
                <w:sz w:val="24"/>
                <w:szCs w:val="24"/>
              </w:rPr>
            </w:pPr>
            <w:r>
              <w:rPr>
                <w:rFonts w:eastAsia="Times New Roman" w:cs="Times New Roman" w:ascii="Times New Roman" w:hAnsi="Times New Roman"/>
                <w:b/>
                <w:sz w:val="24"/>
                <w:szCs w:val="24"/>
              </w:rPr>
              <w:t>Номер подъезда</w:t>
            </w:r>
          </w:p>
        </w:tc>
        <w:tc>
          <w:tcPr>
            <w:tcW w:w="131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before="240" w:after="240"/>
              <w:ind w:left="-100" w:hanging="0"/>
              <w:jc w:val="center"/>
              <w:rPr>
                <w:rFonts w:ascii="Times New Roman" w:hAnsi="Times New Roman" w:eastAsia="Times New Roman" w:cs="Times New Roman"/>
                <w:b/>
                <w:sz w:val="21"/>
                <w:szCs w:val="21"/>
              </w:rPr>
            </w:pPr>
            <w:r>
              <w:rPr>
                <w:rFonts w:eastAsia="Times New Roman" w:cs="Times New Roman" w:ascii="Times New Roman" w:hAnsi="Times New Roman"/>
                <w:b/>
                <w:sz w:val="24"/>
                <w:szCs w:val="24"/>
              </w:rPr>
              <w:t xml:space="preserve">Номер квартиры </w:t>
            </w:r>
            <w:r>
              <w:rPr>
                <w:rFonts w:eastAsia="Times New Roman" w:cs="Times New Roman" w:ascii="Times New Roman" w:hAnsi="Times New Roman"/>
                <w:b/>
                <w:sz w:val="21"/>
                <w:szCs w:val="21"/>
              </w:rPr>
              <w:t>(строительный)</w:t>
            </w:r>
          </w:p>
        </w:tc>
        <w:tc>
          <w:tcPr>
            <w:tcW w:w="108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before="240" w:after="240"/>
              <w:ind w:left="-100" w:hanging="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Количество комнат</w:t>
            </w:r>
          </w:p>
        </w:tc>
        <w:tc>
          <w:tcPr>
            <w:tcW w:w="1126"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before="240" w:after="240"/>
              <w:ind w:left="-100" w:hanging="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Общая площадь (кв.м) </w:t>
            </w:r>
          </w:p>
        </w:tc>
        <w:tc>
          <w:tcPr>
            <w:tcW w:w="261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before="240" w:after="240"/>
              <w:ind w:left="-100" w:hanging="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Общая приведенная площадь жилого помещения (по проекту с учетом площади балконов и лоджий с  коэффициентом 0.5), кв.м</w:t>
            </w:r>
          </w:p>
        </w:tc>
        <w:tc>
          <w:tcPr>
            <w:tcW w:w="1559" w:type="dxa"/>
            <w:tcBorders>
              <w:top w:val="single" w:sz="6" w:space="0" w:color="000000"/>
              <w:left w:val="single" w:sz="6" w:space="0" w:color="000000"/>
              <w:bottom w:val="single" w:sz="6" w:space="0" w:color="000000"/>
              <w:right w:val="single" w:sz="6" w:space="0" w:color="000000"/>
            </w:tcBorders>
          </w:tcPr>
          <w:p>
            <w:pPr>
              <w:pStyle w:val="Normal"/>
              <w:widowControl w:val="false"/>
              <w:spacing w:before="240" w:after="240"/>
              <w:ind w:left="-100" w:hanging="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Общая жилая площадь (площадь жилых комнат), кв.м</w:t>
            </w:r>
          </w:p>
        </w:tc>
      </w:tr>
      <w:tr>
        <w:trPr>
          <w:trHeight w:val="485" w:hRule="atLeast"/>
        </w:trPr>
        <w:tc>
          <w:tcPr>
            <w:tcW w:w="780" w:type="dxa"/>
            <w:tcBorders>
              <w:top w:val="single" w:sz="6" w:space="0" w:color="000000"/>
              <w:left w:val="single" w:sz="6" w:space="0" w:color="000000"/>
              <w:bottom w:val="single" w:sz="6" w:space="0" w:color="000000"/>
              <w:right w:val="single" w:sz="6" w:space="0" w:color="000000"/>
            </w:tcBorders>
            <w:shd w:color="auto" w:fill="FFFF00" w:val="clear"/>
            <w:vAlign w:val="center"/>
          </w:tcPr>
          <w:p>
            <w:pPr>
              <w:pStyle w:val="Normal"/>
              <w:widowControl w:val="false"/>
              <w:jc w:val="center"/>
              <w:rPr>
                <w:rFonts w:ascii="Times New Roman" w:hAnsi="Times New Roman" w:eastAsia="Times New Roman" w:cs="Times New Roman"/>
                <w:highlight w:val="yellow"/>
              </w:rPr>
            </w:pPr>
            <w:r>
              <w:rPr>
                <w:rFonts w:eastAsia="Times New Roman" w:cs="Times New Roman" w:ascii="Times New Roman" w:hAnsi="Times New Roman"/>
                <w:highlight w:val="yellow"/>
              </w:rPr>
            </w:r>
          </w:p>
        </w:tc>
        <w:tc>
          <w:tcPr>
            <w:tcW w:w="1170" w:type="dxa"/>
            <w:tcBorders>
              <w:top w:val="single" w:sz="6" w:space="0" w:color="000000"/>
              <w:left w:val="single" w:sz="6" w:space="0" w:color="000000"/>
              <w:bottom w:val="single" w:sz="6" w:space="0" w:color="000000"/>
              <w:right w:val="single" w:sz="6" w:space="0" w:color="000000"/>
            </w:tcBorders>
            <w:shd w:color="auto" w:fill="FFFF00" w:val="clear"/>
            <w:vAlign w:val="center"/>
          </w:tcPr>
          <w:p>
            <w:pPr>
              <w:pStyle w:val="Normal"/>
              <w:widowControl w:val="false"/>
              <w:jc w:val="center"/>
              <w:rPr>
                <w:rFonts w:ascii="Times New Roman" w:hAnsi="Times New Roman" w:eastAsia="Times New Roman" w:cs="Times New Roman"/>
                <w:sz w:val="21"/>
                <w:szCs w:val="21"/>
                <w:highlight w:val="yellow"/>
              </w:rPr>
            </w:pPr>
            <w:r>
              <w:rPr>
                <w:rFonts w:eastAsia="Times New Roman" w:cs="Times New Roman" w:ascii="Times New Roman" w:hAnsi="Times New Roman"/>
                <w:sz w:val="21"/>
                <w:szCs w:val="21"/>
                <w:highlight w:val="yellow"/>
              </w:rPr>
            </w:r>
          </w:p>
        </w:tc>
        <w:tc>
          <w:tcPr>
            <w:tcW w:w="1319" w:type="dxa"/>
            <w:tcBorders>
              <w:top w:val="single" w:sz="6" w:space="0" w:color="000000"/>
              <w:left w:val="single" w:sz="6" w:space="0" w:color="000000"/>
              <w:bottom w:val="single" w:sz="6" w:space="0" w:color="000000"/>
              <w:right w:val="single" w:sz="6" w:space="0" w:color="000000"/>
            </w:tcBorders>
            <w:shd w:color="auto" w:fill="FFFF00" w:val="clear"/>
            <w:vAlign w:val="center"/>
          </w:tcPr>
          <w:p>
            <w:pPr>
              <w:pStyle w:val="Normal"/>
              <w:widowControl w:val="false"/>
              <w:jc w:val="center"/>
              <w:rPr>
                <w:rFonts w:ascii="Times New Roman" w:hAnsi="Times New Roman" w:eastAsia="Times New Roman" w:cs="Times New Roman"/>
                <w:highlight w:val="yellow"/>
              </w:rPr>
            </w:pPr>
            <w:r>
              <w:rPr>
                <w:rFonts w:eastAsia="Times New Roman" w:cs="Times New Roman" w:ascii="Times New Roman" w:hAnsi="Times New Roman"/>
                <w:highlight w:val="yellow"/>
              </w:rPr>
            </w:r>
          </w:p>
        </w:tc>
        <w:tc>
          <w:tcPr>
            <w:tcW w:w="1080" w:type="dxa"/>
            <w:tcBorders>
              <w:top w:val="single" w:sz="6" w:space="0" w:color="000000"/>
              <w:left w:val="single" w:sz="6" w:space="0" w:color="000000"/>
              <w:bottom w:val="single" w:sz="6" w:space="0" w:color="000000"/>
              <w:right w:val="single" w:sz="6" w:space="0" w:color="000000"/>
            </w:tcBorders>
            <w:shd w:color="auto" w:fill="FFFF00" w:val="clear"/>
            <w:vAlign w:val="center"/>
          </w:tcPr>
          <w:p>
            <w:pPr>
              <w:pStyle w:val="Normal"/>
              <w:widowControl w:val="false"/>
              <w:jc w:val="center"/>
              <w:rPr>
                <w:rFonts w:ascii="Times New Roman" w:hAnsi="Times New Roman" w:eastAsia="Times New Roman" w:cs="Times New Roman"/>
                <w:highlight w:val="yellow"/>
              </w:rPr>
            </w:pPr>
            <w:r>
              <w:rPr>
                <w:rFonts w:eastAsia="Times New Roman" w:cs="Times New Roman" w:ascii="Times New Roman" w:hAnsi="Times New Roman"/>
                <w:highlight w:val="yellow"/>
              </w:rPr>
            </w:r>
          </w:p>
        </w:tc>
        <w:tc>
          <w:tcPr>
            <w:tcW w:w="1126" w:type="dxa"/>
            <w:tcBorders>
              <w:top w:val="single" w:sz="6" w:space="0" w:color="000000"/>
              <w:left w:val="single" w:sz="6" w:space="0" w:color="000000"/>
              <w:bottom w:val="single" w:sz="6" w:space="0" w:color="000000"/>
              <w:right w:val="single" w:sz="6" w:space="0" w:color="000000"/>
            </w:tcBorders>
            <w:shd w:color="auto" w:fill="FFFF00" w:val="clear"/>
            <w:vAlign w:val="center"/>
          </w:tcPr>
          <w:p>
            <w:pPr>
              <w:pStyle w:val="Normal"/>
              <w:widowControl w:val="false"/>
              <w:rPr>
                <w:rFonts w:ascii="Times New Roman" w:hAnsi="Times New Roman" w:eastAsia="Times New Roman" w:cs="Times New Roman"/>
                <w:sz w:val="21"/>
                <w:szCs w:val="21"/>
                <w:highlight w:val="yellow"/>
              </w:rPr>
            </w:pPr>
            <w:r>
              <w:rPr>
                <w:rFonts w:eastAsia="Times New Roman" w:cs="Times New Roman" w:ascii="Times New Roman" w:hAnsi="Times New Roman"/>
                <w:sz w:val="21"/>
                <w:szCs w:val="21"/>
                <w:highlight w:val="yellow"/>
              </w:rPr>
            </w:r>
          </w:p>
        </w:tc>
        <w:tc>
          <w:tcPr>
            <w:tcW w:w="2610" w:type="dxa"/>
            <w:tcBorders>
              <w:top w:val="single" w:sz="6" w:space="0" w:color="000000"/>
              <w:left w:val="single" w:sz="6" w:space="0" w:color="000000"/>
              <w:bottom w:val="single" w:sz="6" w:space="0" w:color="000000"/>
              <w:right w:val="single" w:sz="6" w:space="0" w:color="000000"/>
            </w:tcBorders>
            <w:shd w:color="auto" w:fill="FFFF00" w:val="clear"/>
            <w:vAlign w:val="center"/>
          </w:tcPr>
          <w:p>
            <w:pPr>
              <w:pStyle w:val="Normal"/>
              <w:widowControl w:val="false"/>
              <w:jc w:val="center"/>
              <w:rPr>
                <w:rFonts w:ascii="Times New Roman" w:hAnsi="Times New Roman" w:eastAsia="Times New Roman" w:cs="Times New Roman"/>
                <w:highlight w:val="yellow"/>
              </w:rPr>
            </w:pPr>
            <w:r>
              <w:rPr>
                <w:rFonts w:eastAsia="Times New Roman" w:cs="Times New Roman" w:ascii="Times New Roman" w:hAnsi="Times New Roman"/>
                <w:highlight w:val="yellow"/>
              </w:rPr>
            </w:r>
          </w:p>
        </w:tc>
        <w:tc>
          <w:tcPr>
            <w:tcW w:w="1559" w:type="dxa"/>
            <w:tcBorders>
              <w:top w:val="single" w:sz="6" w:space="0" w:color="000000"/>
              <w:left w:val="single" w:sz="6" w:space="0" w:color="000000"/>
              <w:bottom w:val="single" w:sz="6" w:space="0" w:color="000000"/>
              <w:right w:val="single" w:sz="6" w:space="0" w:color="000000"/>
            </w:tcBorders>
            <w:shd w:color="auto" w:fill="FFFF00" w:val="clear"/>
          </w:tcPr>
          <w:p>
            <w:pPr>
              <w:pStyle w:val="Normal"/>
              <w:widowControl w:val="false"/>
              <w:jc w:val="center"/>
              <w:rPr>
                <w:rFonts w:ascii="Times New Roman" w:hAnsi="Times New Roman" w:eastAsia="Times New Roman" w:cs="Times New Roman"/>
                <w:highlight w:val="yellow"/>
              </w:rPr>
            </w:pPr>
            <w:r>
              <w:rPr>
                <w:rFonts w:eastAsia="Times New Roman" w:cs="Times New Roman" w:ascii="Times New Roman" w:hAnsi="Times New Roman"/>
                <w:highlight w:val="yellow"/>
              </w:rPr>
            </w:r>
          </w:p>
        </w:tc>
      </w:tr>
    </w:tbl>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Кухня - </w:t>
      </w:r>
      <w:r>
        <w:rPr>
          <w:rFonts w:eastAsia="Times New Roman" w:cs="Times New Roman" w:ascii="Times New Roman" w:hAnsi="Times New Roman"/>
          <w:sz w:val="24"/>
          <w:szCs w:val="24"/>
          <w:highlight w:val="yellow"/>
        </w:rPr>
        <w:t>_______</w:t>
      </w:r>
      <w:r>
        <w:rPr>
          <w:rFonts w:eastAsia="Times New Roman" w:cs="Times New Roman" w:ascii="Times New Roman" w:hAnsi="Times New Roman"/>
          <w:sz w:val="24"/>
          <w:szCs w:val="24"/>
          <w:highlight w:val="white"/>
        </w:rPr>
        <w:t xml:space="preserve"> кв.м., прихожая с коридором - </w:t>
      </w:r>
      <w:r>
        <w:rPr>
          <w:rFonts w:eastAsia="Times New Roman" w:cs="Times New Roman" w:ascii="Times New Roman" w:hAnsi="Times New Roman"/>
          <w:sz w:val="24"/>
          <w:szCs w:val="24"/>
          <w:highlight w:val="yellow"/>
        </w:rPr>
        <w:t>_______</w:t>
      </w:r>
      <w:r>
        <w:rPr>
          <w:rFonts w:eastAsia="Times New Roman" w:cs="Times New Roman" w:ascii="Times New Roman" w:hAnsi="Times New Roman"/>
          <w:sz w:val="24"/>
          <w:szCs w:val="24"/>
          <w:highlight w:val="white"/>
        </w:rPr>
        <w:t xml:space="preserve"> кв.м., сан/узел (совмещен или нет) площадью - </w:t>
      </w:r>
      <w:r>
        <w:rPr>
          <w:rFonts w:eastAsia="Times New Roman" w:cs="Times New Roman" w:ascii="Times New Roman" w:hAnsi="Times New Roman"/>
          <w:sz w:val="24"/>
          <w:szCs w:val="24"/>
          <w:highlight w:val="yellow"/>
        </w:rPr>
        <w:t>_______</w:t>
      </w:r>
      <w:r>
        <w:rPr>
          <w:rFonts w:eastAsia="Times New Roman" w:cs="Times New Roman" w:ascii="Times New Roman" w:hAnsi="Times New Roman"/>
          <w:sz w:val="24"/>
          <w:szCs w:val="24"/>
          <w:highlight w:val="white"/>
        </w:rPr>
        <w:t xml:space="preserve"> кв.м., лоджия (балкон) - </w:t>
      </w:r>
      <w:r>
        <w:rPr>
          <w:rFonts w:eastAsia="Times New Roman" w:cs="Times New Roman" w:ascii="Times New Roman" w:hAnsi="Times New Roman"/>
          <w:sz w:val="24"/>
          <w:szCs w:val="24"/>
          <w:highlight w:val="yellow"/>
        </w:rPr>
        <w:t>_______</w:t>
      </w:r>
      <w:r>
        <w:rPr>
          <w:rFonts w:eastAsia="Times New Roman" w:cs="Times New Roman" w:ascii="Times New Roman" w:hAnsi="Times New Roman"/>
          <w:sz w:val="24"/>
          <w:szCs w:val="24"/>
          <w:highlight w:val="white"/>
        </w:rPr>
        <w:t xml:space="preserve"> к</w:t>
      </w:r>
      <w:r>
        <w:rPr>
          <w:rFonts w:eastAsia="Times New Roman" w:cs="Times New Roman" w:ascii="Times New Roman" w:hAnsi="Times New Roman"/>
          <w:sz w:val="24"/>
          <w:szCs w:val="24"/>
        </w:rPr>
        <w:t xml:space="preserve">в.м., высота потолков – 2,7 м., расположенная в многоквартирном жилом доме – </w:t>
      </w:r>
      <w:r>
        <w:rPr>
          <w:rFonts w:eastAsia="Times New Roman" w:cs="Times New Roman" w:ascii="Times New Roman" w:hAnsi="Times New Roman"/>
          <w:sz w:val="24"/>
          <w:szCs w:val="24"/>
          <w:shd w:fill="auto" w:val="clear"/>
        </w:rPr>
        <w:t>Жилой дом по ул. 21-я Амурская в ЦАО г. Омска</w:t>
      </w:r>
      <w:r>
        <w:rPr>
          <w:rFonts w:eastAsia="Times New Roman" w:cs="Times New Roman" w:ascii="Times New Roman" w:hAnsi="Times New Roman"/>
          <w:sz w:val="24"/>
          <w:szCs w:val="24"/>
        </w:rPr>
        <w:t xml:space="preserve"> (далее по тексту – многоквартирный дом), строительство которого ведет Застройщик, согласно размещению на Плане объекта долевого строительства (Приложение №1 к настоящему договору), создаваемая с привлечением денежных средств Участника долевого строительства и подлежащая передаче Участнику долевого строительства</w:t>
      </w: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 xml:space="preserve">в собственность после получения разрешения на ввод в эксплуатацию многоквартирного дома в порядке и на условиях, предусмотренных настоящим договором, а также общее имущество в многоквартирном доме, строящемся на земельном участке: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кадастровый номер </w:t>
      </w:r>
      <w:r>
        <w:rPr>
          <w:rFonts w:eastAsia="Times New Roman" w:cs="Times New Roman" w:ascii="Times New Roman" w:hAnsi="Times New Roman"/>
          <w:sz w:val="24"/>
          <w:szCs w:val="24"/>
          <w:shd w:fill="auto" w:val="clear"/>
        </w:rPr>
        <w:t>55:36:061003:476</w:t>
      </w:r>
      <w:r>
        <w:rPr>
          <w:rFonts w:eastAsia="Times New Roman" w:cs="Times New Roman" w:ascii="Times New Roman" w:hAnsi="Times New Roman"/>
          <w:sz w:val="24"/>
          <w:szCs w:val="24"/>
          <w:shd w:fill="auto" w:val="clear"/>
        </w:rPr>
        <w:t xml:space="preserve">, площадью </w:t>
      </w:r>
      <w:r>
        <w:rPr>
          <w:rFonts w:eastAsia="Times New Roman" w:cs="Times New Roman" w:ascii="Times New Roman" w:hAnsi="Times New Roman"/>
          <w:sz w:val="24"/>
          <w:szCs w:val="24"/>
          <w:shd w:fill="auto" w:val="clear"/>
        </w:rPr>
        <w:t>6 535</w:t>
      </w:r>
      <w:r>
        <w:rPr>
          <w:rFonts w:eastAsia="Times New Roman" w:cs="Times New Roman" w:ascii="Times New Roman" w:hAnsi="Times New Roman"/>
          <w:sz w:val="24"/>
          <w:szCs w:val="24"/>
          <w:shd w:fill="auto" w:val="clear"/>
        </w:rPr>
        <w:t xml:space="preserve"> кв. м., местоположение которого установлено Омская область, г. Омск, </w:t>
      </w:r>
      <w:r>
        <w:rPr>
          <w:rFonts w:eastAsia="Times New Roman" w:cs="Times New Roman" w:ascii="Times New Roman" w:hAnsi="Times New Roman"/>
          <w:sz w:val="24"/>
          <w:szCs w:val="24"/>
          <w:shd w:fill="auto" w:val="clear"/>
        </w:rPr>
        <w:t>ул. 21-я Амурская</w:t>
      </w:r>
      <w:r>
        <w:rPr>
          <w:rFonts w:eastAsia="Times New Roman" w:cs="Times New Roman" w:ascii="Times New Roman" w:hAnsi="Times New Roman"/>
          <w:sz w:val="24"/>
          <w:szCs w:val="24"/>
          <w:shd w:fill="auto" w:val="clear"/>
        </w:rPr>
        <w:t>.</w:t>
      </w:r>
      <w:r>
        <w:rPr>
          <w:rFonts w:eastAsia="Times New Roman" w:cs="Times New Roman" w:ascii="Times New Roman" w:hAnsi="Times New Roman"/>
          <w:sz w:val="24"/>
          <w:szCs w:val="24"/>
        </w:rPr>
        <w:t xml:space="preserve"> Категория земель: земли населенных пунктов, виды разрешенного использования: Многоэтажная жилая застройка (высотная застройка) (код 2.6.);</w:t>
      </w:r>
    </w:p>
    <w:p>
      <w:pPr>
        <w:pStyle w:val="Normal"/>
        <w:spacing w:before="240" w:after="240"/>
        <w:jc w:val="both"/>
        <w:rPr>
          <w:highlight w:val="none"/>
          <w:shd w:fill="auto" w:val="clear"/>
        </w:rPr>
      </w:pPr>
      <w:r>
        <w:rPr>
          <w:rFonts w:eastAsia="Times New Roman" w:cs="Times New Roman" w:ascii="Times New Roman" w:hAnsi="Times New Roman"/>
          <w:sz w:val="24"/>
          <w:szCs w:val="24"/>
          <w:shd w:fill="auto" w:val="clear"/>
        </w:rPr>
        <w:t>- земельный участок имеет ограничения, предусмотренные статьей 56 Земельного Кодекса Российской Федерации.</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Почтовый адрес Объекту долевого строительства будет присвоен после окончания строительства многоквартирного дома.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Основные характеристики многоквартирного дома в соответствии с проектной документацией:</w:t>
      </w:r>
    </w:p>
    <w:p>
      <w:pPr>
        <w:pStyle w:val="Normal"/>
        <w:numPr>
          <w:ilvl w:val="0"/>
          <w:numId w:val="2"/>
        </w:numPr>
        <w:spacing w:before="240" w:after="0"/>
        <w:rPr/>
      </w:pPr>
      <w:r>
        <w:rPr>
          <w:rFonts w:eastAsia="Times New Roman" w:cs="Times New Roman" w:ascii="Times New Roman" w:hAnsi="Times New Roman"/>
          <w:sz w:val="24"/>
          <w:szCs w:val="24"/>
        </w:rPr>
        <w:t>Вид  – здание.</w:t>
      </w:r>
    </w:p>
    <w:p>
      <w:pPr>
        <w:pStyle w:val="Normal"/>
        <w:numPr>
          <w:ilvl w:val="0"/>
          <w:numId w:val="2"/>
        </w:numPr>
        <w:rPr/>
      </w:pPr>
      <w:r>
        <w:rPr>
          <w:rFonts w:eastAsia="Times New Roman" w:cs="Times New Roman" w:ascii="Times New Roman" w:hAnsi="Times New Roman"/>
          <w:sz w:val="24"/>
          <w:szCs w:val="24"/>
        </w:rPr>
        <w:t>Назначение – многоквартирный дом.</w:t>
      </w:r>
    </w:p>
    <w:p>
      <w:pPr>
        <w:pStyle w:val="Normal"/>
        <w:numPr>
          <w:ilvl w:val="0"/>
          <w:numId w:val="2"/>
        </w:numPr>
        <w:rPr/>
      </w:pPr>
      <w:r>
        <w:rPr>
          <w:rFonts w:eastAsia="Times New Roman" w:cs="Times New Roman" w:ascii="Times New Roman" w:hAnsi="Times New Roman"/>
          <w:sz w:val="24"/>
          <w:szCs w:val="24"/>
        </w:rPr>
        <w:t xml:space="preserve">Минимальное количество этажей </w:t>
      </w:r>
      <w:r>
        <w:rPr>
          <w:rFonts w:eastAsia="Times New Roman" w:cs="Times New Roman" w:ascii="Times New Roman" w:hAnsi="Times New Roman"/>
          <w:color w:val="000000"/>
          <w:sz w:val="24"/>
          <w:szCs w:val="24"/>
        </w:rPr>
        <w:t>–</w:t>
      </w:r>
      <w:r>
        <w:rPr>
          <w:rFonts w:eastAsia="Times New Roman" w:cs="Times New Roman" w:ascii="Times New Roman" w:hAnsi="Times New Roman"/>
          <w:color w:val="EE0000"/>
          <w:sz w:val="24"/>
          <w:szCs w:val="24"/>
        </w:rPr>
        <w:t xml:space="preserve"> </w:t>
      </w:r>
      <w:r>
        <w:rPr>
          <w:rFonts w:eastAsia="Times New Roman" w:cs="Times New Roman" w:ascii="Times New Roman" w:hAnsi="Times New Roman"/>
          <w:b w:val="false"/>
          <w:bCs w:val="false"/>
          <w:color w:val="000000"/>
          <w:sz w:val="24"/>
          <w:szCs w:val="24"/>
          <w:shd w:fill="auto" w:val="clear"/>
          <w:lang w:val="ru-RU"/>
        </w:rPr>
        <w:t>9</w:t>
      </w:r>
      <w:r>
        <w:rPr>
          <w:rFonts w:eastAsia="Times New Roman" w:cs="Times New Roman" w:ascii="Times New Roman" w:hAnsi="Times New Roman"/>
          <w:color w:val="EE0000"/>
          <w:sz w:val="24"/>
          <w:szCs w:val="24"/>
        </w:rPr>
        <w:t xml:space="preserve"> </w:t>
      </w:r>
      <w:r>
        <w:rPr>
          <w:rFonts w:eastAsia="Times New Roman" w:cs="Times New Roman" w:ascii="Times New Roman" w:hAnsi="Times New Roman"/>
          <w:sz w:val="24"/>
          <w:szCs w:val="24"/>
        </w:rPr>
        <w:t>жилых этажей.</w:t>
      </w:r>
    </w:p>
    <w:p>
      <w:pPr>
        <w:pStyle w:val="Normal"/>
        <w:numPr>
          <w:ilvl w:val="0"/>
          <w:numId w:val="2"/>
        </w:numPr>
        <w:rPr/>
      </w:pPr>
      <w:r>
        <w:rPr>
          <w:rFonts w:eastAsia="Times New Roman" w:cs="Times New Roman" w:ascii="Times New Roman" w:hAnsi="Times New Roman"/>
          <w:sz w:val="24"/>
          <w:szCs w:val="24"/>
        </w:rPr>
        <w:t>Максимальное количество этажей– 11.</w:t>
      </w:r>
    </w:p>
    <w:p>
      <w:pPr>
        <w:pStyle w:val="Normal"/>
        <w:numPr>
          <w:ilvl w:val="0"/>
          <w:numId w:val="2"/>
        </w:numPr>
        <w:rPr/>
      </w:pPr>
      <w:r>
        <w:rPr>
          <w:rFonts w:eastAsia="Times New Roman" w:cs="Times New Roman" w:ascii="Times New Roman" w:hAnsi="Times New Roman"/>
          <w:sz w:val="24"/>
          <w:szCs w:val="24"/>
        </w:rPr>
        <w:t xml:space="preserve">Общая площадь объекта – </w:t>
      </w:r>
      <w:r>
        <w:rPr>
          <w:rFonts w:eastAsia="Times New Roman" w:cs="Times New Roman" w:ascii="Times New Roman" w:hAnsi="Times New Roman"/>
          <w:sz w:val="24"/>
          <w:szCs w:val="24"/>
          <w:shd w:fill="auto" w:val="clear"/>
        </w:rPr>
        <w:t>14567.05</w:t>
      </w:r>
      <w:r>
        <w:rPr>
          <w:rFonts w:eastAsia="Times New Roman" w:cs="Times New Roman" w:ascii="Times New Roman" w:hAnsi="Times New Roman"/>
          <w:sz w:val="24"/>
          <w:szCs w:val="24"/>
        </w:rPr>
        <w:t xml:space="preserve"> кв.м.</w:t>
      </w:r>
    </w:p>
    <w:p>
      <w:pPr>
        <w:pStyle w:val="Normal"/>
        <w:numPr>
          <w:ilvl w:val="0"/>
          <w:numId w:val="2"/>
        </w:numPr>
        <w:rPr/>
      </w:pPr>
      <w:r>
        <w:rPr>
          <w:rFonts w:eastAsia="Times New Roman" w:cs="Times New Roman" w:ascii="Times New Roman" w:hAnsi="Times New Roman"/>
          <w:sz w:val="24"/>
          <w:szCs w:val="24"/>
        </w:rPr>
        <w:t>Общая площадь всех жилых помещений</w:t>
      </w:r>
      <w:r>
        <w:rPr>
          <w:rFonts w:eastAsia="Times New Roman" w:cs="Times New Roman" w:ascii="Times New Roman" w:hAnsi="Times New Roman"/>
          <w:sz w:val="24"/>
          <w:szCs w:val="24"/>
          <w:shd w:fill="auto" w:val="clear"/>
        </w:rPr>
        <w:t xml:space="preserve"> </w:t>
      </w:r>
      <w:r>
        <w:rPr>
          <w:rFonts w:eastAsia="Times New Roman" w:cs="Times New Roman" w:ascii="Times New Roman" w:hAnsi="Times New Roman"/>
          <w:sz w:val="24"/>
          <w:szCs w:val="24"/>
          <w:shd w:fill="auto" w:val="clear"/>
        </w:rPr>
        <w:t>8464,68</w:t>
      </w:r>
      <w:r>
        <w:rPr>
          <w:rFonts w:eastAsia="Times New Roman" w:cs="Times New Roman" w:ascii="Times New Roman" w:hAnsi="Times New Roman"/>
          <w:sz w:val="24"/>
          <w:szCs w:val="24"/>
        </w:rPr>
        <w:t xml:space="preserve"> – кв.м.</w:t>
      </w:r>
    </w:p>
    <w:p>
      <w:pPr>
        <w:pStyle w:val="Normal"/>
        <w:numPr>
          <w:ilvl w:val="0"/>
          <w:numId w:val="2"/>
        </w:numPr>
        <w:rPr/>
      </w:pPr>
      <w:r>
        <w:rPr>
          <w:rFonts w:eastAsia="Times New Roman" w:cs="Times New Roman" w:ascii="Times New Roman" w:hAnsi="Times New Roman"/>
          <w:sz w:val="24"/>
          <w:szCs w:val="24"/>
        </w:rPr>
        <w:t>Количество секций (подъездов) – 2.</w:t>
      </w:r>
    </w:p>
    <w:p>
      <w:pPr>
        <w:pStyle w:val="Normal"/>
        <w:numPr>
          <w:ilvl w:val="0"/>
          <w:numId w:val="2"/>
        </w:numPr>
        <w:rPr/>
      </w:pPr>
      <w:r>
        <w:rPr>
          <w:rFonts w:eastAsia="Times New Roman" w:cs="Times New Roman" w:ascii="Times New Roman" w:hAnsi="Times New Roman"/>
          <w:sz w:val="24"/>
          <w:szCs w:val="24"/>
        </w:rPr>
        <w:t xml:space="preserve">Общее количество пассажирских и грузовых лифтов – </w:t>
      </w:r>
      <w:r>
        <w:rPr>
          <w:rFonts w:eastAsia="Times New Roman" w:cs="Times New Roman" w:ascii="Times New Roman" w:hAnsi="Times New Roman"/>
          <w:sz w:val="24"/>
          <w:szCs w:val="24"/>
          <w:shd w:fill="auto" w:val="clear"/>
        </w:rPr>
        <w:t>2</w:t>
      </w:r>
      <w:r>
        <w:rPr>
          <w:rFonts w:eastAsia="Times New Roman" w:cs="Times New Roman" w:ascii="Times New Roman" w:hAnsi="Times New Roman"/>
          <w:sz w:val="24"/>
          <w:szCs w:val="24"/>
        </w:rPr>
        <w:t>.</w:t>
      </w:r>
    </w:p>
    <w:p>
      <w:pPr>
        <w:pStyle w:val="Normal"/>
        <w:numPr>
          <w:ilvl w:val="0"/>
          <w:numId w:val="2"/>
        </w:numPr>
        <w:rPr/>
      </w:pPr>
      <w:r>
        <w:rPr>
          <w:rFonts w:eastAsia="Times New Roman" w:cs="Times New Roman" w:ascii="Times New Roman" w:hAnsi="Times New Roman"/>
          <w:sz w:val="24"/>
          <w:szCs w:val="24"/>
        </w:rPr>
        <w:t>Общее количество грузовых лифтов (грузоподъемностью не менее 1000 кг) –</w:t>
      </w:r>
      <w:r>
        <w:rPr>
          <w:rFonts w:eastAsia="Times New Roman" w:cs="Times New Roman" w:ascii="Times New Roman" w:hAnsi="Times New Roman"/>
          <w:sz w:val="24"/>
          <w:szCs w:val="24"/>
          <w:shd w:fill="auto" w:val="clear"/>
        </w:rPr>
        <w:t>2</w:t>
      </w:r>
      <w:r>
        <w:rPr>
          <w:rFonts w:eastAsia="Times New Roman" w:cs="Times New Roman" w:ascii="Times New Roman" w:hAnsi="Times New Roman"/>
          <w:sz w:val="24"/>
          <w:szCs w:val="24"/>
          <w:shd w:fill="auto" w:val="clear"/>
        </w:rPr>
        <w:t>.</w:t>
      </w:r>
    </w:p>
    <w:p>
      <w:pPr>
        <w:pStyle w:val="Normal"/>
        <w:numPr>
          <w:ilvl w:val="0"/>
          <w:numId w:val="2"/>
        </w:numPr>
        <w:rPr/>
      </w:pPr>
      <w:r>
        <w:rPr>
          <w:rFonts w:eastAsia="Times New Roman" w:cs="Times New Roman" w:ascii="Times New Roman" w:hAnsi="Times New Roman"/>
          <w:sz w:val="24"/>
          <w:szCs w:val="24"/>
        </w:rPr>
        <w:t>Материал наружных стен и каркаса объекта –сборный железобетонный каркас и стены из мелкоштучных каменных материалов (кирпич, керамические камни, блоки и др.)</w:t>
      </w:r>
    </w:p>
    <w:p>
      <w:pPr>
        <w:pStyle w:val="Normal"/>
        <w:numPr>
          <w:ilvl w:val="0"/>
          <w:numId w:val="2"/>
        </w:numPr>
        <w:rPr/>
      </w:pPr>
      <w:r>
        <w:rPr>
          <w:rFonts w:eastAsia="Times New Roman" w:cs="Times New Roman" w:ascii="Times New Roman" w:hAnsi="Times New Roman"/>
          <w:sz w:val="24"/>
          <w:szCs w:val="24"/>
        </w:rPr>
        <w:t>Материал поэтажных перекрытий – Сборные железобетонные многопустотные плиты.</w:t>
      </w:r>
    </w:p>
    <w:p>
      <w:pPr>
        <w:pStyle w:val="Normal"/>
        <w:numPr>
          <w:ilvl w:val="0"/>
          <w:numId w:val="2"/>
        </w:numPr>
        <w:rPr/>
      </w:pPr>
      <w:r>
        <w:rPr>
          <w:rFonts w:eastAsia="Times New Roman" w:cs="Times New Roman" w:ascii="Times New Roman" w:hAnsi="Times New Roman"/>
          <w:sz w:val="24"/>
          <w:szCs w:val="24"/>
        </w:rPr>
        <w:t>Класс энергоэффективности – С.</w:t>
      </w:r>
    </w:p>
    <w:p>
      <w:pPr>
        <w:pStyle w:val="Normal"/>
        <w:numPr>
          <w:ilvl w:val="0"/>
          <w:numId w:val="2"/>
        </w:numPr>
        <w:spacing w:before="0" w:after="240"/>
        <w:rPr/>
      </w:pPr>
      <w:r>
        <w:rPr>
          <w:rFonts w:eastAsia="Times New Roman" w:cs="Times New Roman" w:ascii="Times New Roman" w:hAnsi="Times New Roman"/>
          <w:sz w:val="24"/>
          <w:szCs w:val="24"/>
        </w:rPr>
        <w:t>Класс сейсмостойкости – сейсмичность территории -</w:t>
      </w:r>
      <w:r>
        <w:rPr>
          <w:rFonts w:eastAsia="Times New Roman" w:cs="Times New Roman" w:ascii="Times New Roman" w:hAnsi="Times New Roman"/>
          <w:sz w:val="24"/>
          <w:szCs w:val="24"/>
          <w:shd w:fill="auto" w:val="clear"/>
        </w:rPr>
        <w:t xml:space="preserve"> </w:t>
      </w:r>
      <w:r>
        <w:rPr>
          <w:rFonts w:eastAsia="Times New Roman" w:cs="Times New Roman" w:ascii="Times New Roman" w:hAnsi="Times New Roman"/>
          <w:sz w:val="24"/>
          <w:szCs w:val="24"/>
          <w:shd w:fill="auto" w:val="clear"/>
        </w:rPr>
        <w:t>5</w:t>
      </w:r>
      <w:r>
        <w:rPr>
          <w:rFonts w:eastAsia="Times New Roman" w:cs="Times New Roman" w:ascii="Times New Roman" w:hAnsi="Times New Roman"/>
          <w:sz w:val="24"/>
          <w:szCs w:val="24"/>
          <w:shd w:fill="auto" w:val="clear"/>
        </w:rPr>
        <w:t xml:space="preserve"> </w:t>
      </w:r>
      <w:r>
        <w:rPr>
          <w:rFonts w:eastAsia="Times New Roman" w:cs="Times New Roman" w:ascii="Times New Roman" w:hAnsi="Times New Roman"/>
          <w:sz w:val="24"/>
          <w:szCs w:val="24"/>
        </w:rPr>
        <w:t>баллов по карте "С".</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1.2.</w:t>
      </w:r>
      <w:r>
        <w:rPr>
          <w:rFonts w:eastAsia="Times New Roman" w:cs="Times New Roman" w:ascii="Times New Roman" w:hAnsi="Times New Roman"/>
          <w:sz w:val="24"/>
          <w:szCs w:val="24"/>
        </w:rPr>
        <w:t xml:space="preserve">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этого объекта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w:t>
      </w:r>
    </w:p>
    <w:p>
      <w:pPr>
        <w:pStyle w:val="Normal"/>
        <w:spacing w:before="240" w:after="240"/>
        <w:rPr>
          <w:rFonts w:ascii="Times New Roman" w:hAnsi="Times New Roman" w:eastAsia="Times New Roman" w:cs="Times New Roman"/>
          <w:sz w:val="24"/>
          <w:szCs w:val="24"/>
        </w:rPr>
      </w:pPr>
      <w:r>
        <w:rPr>
          <w:rFonts w:eastAsia="Times New Roman" w:cs="Times New Roman" w:ascii="Times New Roman" w:hAnsi="Times New Roman"/>
          <w:b/>
          <w:sz w:val="24"/>
          <w:szCs w:val="24"/>
        </w:rPr>
        <w:t>1.3.</w:t>
      </w:r>
      <w:r>
        <w:rPr>
          <w:rFonts w:eastAsia="Times New Roman" w:cs="Times New Roman" w:ascii="Times New Roman" w:hAnsi="Times New Roman"/>
          <w:sz w:val="24"/>
          <w:szCs w:val="24"/>
        </w:rPr>
        <w:t xml:space="preserve"> Застройщик осуществляет строительство многоквартирного дома на основании:</w:t>
      </w:r>
    </w:p>
    <w:p>
      <w:pPr>
        <w:pStyle w:val="Normal"/>
        <w:numPr>
          <w:ilvl w:val="0"/>
          <w:numId w:val="1"/>
        </w:numPr>
        <w:spacing w:before="240" w:after="0"/>
        <w:rPr/>
      </w:pPr>
      <w:r>
        <w:rPr>
          <w:rFonts w:eastAsia="Times New Roman" w:cs="Times New Roman" w:ascii="Times New Roman" w:hAnsi="Times New Roman"/>
          <w:sz w:val="24"/>
          <w:szCs w:val="24"/>
        </w:rPr>
        <w:t xml:space="preserve">Прав на земельные участки под строительство: Договор аренды земельного участка, заключенного по результатам рассмотрения заявок на участие в аукционе № Д-Ц-31-13078 от 27.04.2024 г., зарегистрированный Управлением Федеральной службы государственной регистрации, кадастра и картографии по Омской области </w:t>
      </w:r>
      <w:r>
        <w:rPr>
          <w:rFonts w:eastAsia="Times New Roman" w:cs="Times New Roman" w:ascii="Times New Roman" w:hAnsi="Times New Roman"/>
          <w:sz w:val="24"/>
          <w:szCs w:val="24"/>
          <w:shd w:fill="auto" w:val="clear"/>
        </w:rPr>
        <w:t>30.03.2023</w:t>
      </w:r>
      <w:r>
        <w:rPr>
          <w:rFonts w:eastAsia="Times New Roman" w:cs="Times New Roman" w:ascii="Times New Roman" w:hAnsi="Times New Roman"/>
          <w:sz w:val="24"/>
          <w:szCs w:val="24"/>
        </w:rPr>
        <w:t xml:space="preserve"> г. за № </w:t>
      </w:r>
      <w:r>
        <w:rPr>
          <w:rFonts w:eastAsia="Times New Roman" w:cs="Times New Roman" w:ascii="Times New Roman" w:hAnsi="Times New Roman"/>
          <w:sz w:val="24"/>
          <w:szCs w:val="24"/>
          <w:shd w:fill="auto" w:val="clear"/>
        </w:rPr>
        <w:t>Д-КРТ-Ц-1</w:t>
      </w:r>
      <w:r>
        <w:rPr>
          <w:rFonts w:eastAsia="Times New Roman" w:cs="Times New Roman" w:ascii="Times New Roman" w:hAnsi="Times New Roman"/>
          <w:sz w:val="24"/>
          <w:szCs w:val="24"/>
        </w:rPr>
        <w:t>.</w:t>
      </w:r>
    </w:p>
    <w:p>
      <w:pPr>
        <w:pStyle w:val="Normal"/>
        <w:numPr>
          <w:ilvl w:val="0"/>
          <w:numId w:val="1"/>
        </w:numPr>
        <w:rPr/>
      </w:pPr>
      <w:r>
        <w:rPr>
          <w:rFonts w:eastAsia="Times New Roman" w:cs="Times New Roman" w:ascii="Times New Roman" w:hAnsi="Times New Roman"/>
          <w:sz w:val="24"/>
          <w:szCs w:val="24"/>
        </w:rPr>
        <w:t xml:space="preserve">Проектной документации шифр – </w:t>
      </w:r>
      <w:r>
        <w:rPr>
          <w:rFonts w:eastAsia="Times New Roman" w:cs="Times New Roman" w:ascii="Times New Roman" w:hAnsi="Times New Roman"/>
          <w:b w:val="false"/>
          <w:bCs w:val="false"/>
          <w:color w:val="000000"/>
          <w:sz w:val="24"/>
          <w:szCs w:val="24"/>
          <w:shd w:fill="auto" w:val="clear"/>
          <w:lang w:val="ru-RU"/>
        </w:rPr>
        <w:t>2023-05-1</w:t>
      </w:r>
      <w:r>
        <w:rPr>
          <w:rFonts w:eastAsia="Times New Roman" w:cs="Times New Roman" w:ascii="Times New Roman" w:hAnsi="Times New Roman"/>
          <w:color w:val="0000CC"/>
          <w:sz w:val="24"/>
          <w:szCs w:val="24"/>
        </w:rPr>
        <w:t>.</w:t>
      </w:r>
    </w:p>
    <w:p>
      <w:pPr>
        <w:pStyle w:val="Normal"/>
        <w:numPr>
          <w:ilvl w:val="0"/>
          <w:numId w:val="1"/>
        </w:numPr>
        <w:spacing w:before="0" w:after="240"/>
        <w:rPr/>
      </w:pPr>
      <w:r>
        <w:rPr>
          <w:rFonts w:eastAsia="Times New Roman" w:cs="Times New Roman" w:ascii="Times New Roman" w:hAnsi="Times New Roman"/>
          <w:sz w:val="24"/>
          <w:szCs w:val="24"/>
        </w:rPr>
        <w:t>Разрешения на строительство № 55-36-85-2024, выдано Департаментом архитектуры и градостроительства Администрации города Омска 13.11.2024 г. на срок до 13.03.2026 года.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1.4.</w:t>
      </w:r>
      <w:r>
        <w:rPr>
          <w:rFonts w:eastAsia="Times New Roman" w:cs="Times New Roman" w:ascii="Times New Roman" w:hAnsi="Times New Roman"/>
          <w:sz w:val="24"/>
          <w:szCs w:val="24"/>
        </w:rPr>
        <w:t xml:space="preserve"> Жилой дом будет введен в эксплуатацию в соответствии с графиком производства работ с учетом норм продолжения строительства согласно требованиям СНиП.</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Срок передачи Застройщиком объекта долевого строительства участнику долевого строительства – </w:t>
      </w:r>
      <w:r>
        <w:rPr>
          <w:rFonts w:eastAsia="Times New Roman" w:cs="Times New Roman" w:ascii="Times New Roman" w:hAnsi="Times New Roman"/>
          <w:b/>
          <w:sz w:val="24"/>
          <w:szCs w:val="24"/>
        </w:rPr>
        <w:t>не позднее 30.03.2027 года</w:t>
      </w:r>
      <w:r>
        <w:rPr>
          <w:rFonts w:eastAsia="Times New Roman" w:cs="Times New Roman" w:ascii="Times New Roman" w:hAnsi="Times New Roman"/>
          <w:sz w:val="24"/>
          <w:szCs w:val="24"/>
        </w:rPr>
        <w:t>.</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Стороны соглашаются, что допускается досрочное исполнение Застройщиком обязательства по передаче Объекта долевого строительства.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1.5.</w:t>
      </w:r>
      <w:r>
        <w:rPr>
          <w:rFonts w:eastAsia="Times New Roman" w:cs="Times New Roman" w:ascii="Times New Roman" w:hAnsi="Times New Roman"/>
          <w:sz w:val="24"/>
          <w:szCs w:val="24"/>
        </w:rPr>
        <w:t xml:space="preserve"> Проектная декларация о проекте строительства Объекта размещена на сайте единой информационной системы жилищного строительства в информационно-телекоммуникационной сети «Интернет» (https://наш.дом.рф) в соответствии с требованиями  действующего  законодательства.  Участник долевого строительства подтверждает, что он ознакомлен с проектной декларацией. </w:t>
      </w:r>
    </w:p>
    <w:p>
      <w:pPr>
        <w:pStyle w:val="Normal"/>
        <w:spacing w:before="240" w:after="240"/>
        <w:rPr>
          <w:rFonts w:ascii="Times New Roman" w:hAnsi="Times New Roman" w:eastAsia="Times New Roman" w:cs="Times New Roman"/>
          <w:sz w:val="24"/>
          <w:szCs w:val="24"/>
        </w:rPr>
      </w:pPr>
      <w:r>
        <w:rPr>
          <w:rFonts w:eastAsia="Times New Roman" w:cs="Times New Roman" w:ascii="Times New Roman" w:hAnsi="Times New Roman"/>
          <w:b/>
          <w:sz w:val="24"/>
          <w:szCs w:val="24"/>
        </w:rPr>
        <w:t>1.6.</w:t>
      </w:r>
      <w:r>
        <w:rPr>
          <w:rFonts w:eastAsia="Times New Roman" w:cs="Times New Roman" w:ascii="Times New Roman" w:hAnsi="Times New Roman"/>
          <w:sz w:val="24"/>
          <w:szCs w:val="24"/>
        </w:rPr>
        <w:t xml:space="preserve"> Объект долевого строительства передается Дольщику в следующем состоянии:</w:t>
      </w:r>
    </w:p>
    <w:p>
      <w:pPr>
        <w:pStyle w:val="Normal"/>
        <w:numPr>
          <w:ilvl w:val="0"/>
          <w:numId w:val="3"/>
        </w:numPr>
        <w:spacing w:before="240" w:after="0"/>
        <w:rPr/>
      </w:pPr>
      <w:r>
        <w:rPr>
          <w:rFonts w:eastAsia="Times New Roman" w:cs="Times New Roman" w:ascii="Times New Roman" w:hAnsi="Times New Roman"/>
          <w:sz w:val="24"/>
          <w:szCs w:val="24"/>
        </w:rPr>
        <w:t>потолки санитарных помещений и жилых комнат – натяжные ПВХ потолки, потолки балконов - окраска;</w:t>
      </w:r>
    </w:p>
    <w:p>
      <w:pPr>
        <w:pStyle w:val="Normal"/>
        <w:numPr>
          <w:ilvl w:val="0"/>
          <w:numId w:val="3"/>
        </w:numPr>
        <w:rPr/>
      </w:pPr>
      <w:r>
        <w:rPr>
          <w:rFonts w:eastAsia="Times New Roman" w:cs="Times New Roman" w:ascii="Times New Roman" w:hAnsi="Times New Roman"/>
          <w:sz w:val="24"/>
          <w:szCs w:val="24"/>
        </w:rPr>
        <w:t>стены санитарных помещений — панель самоклеющаяся ПВХ, стены жилых комнат — обои; стены балконов — без отделки;</w:t>
      </w:r>
    </w:p>
    <w:p>
      <w:pPr>
        <w:pStyle w:val="Normal"/>
        <w:numPr>
          <w:ilvl w:val="0"/>
          <w:numId w:val="3"/>
        </w:numPr>
        <w:rPr/>
      </w:pPr>
      <w:r>
        <w:rPr>
          <w:rFonts w:eastAsia="Times New Roman" w:cs="Times New Roman" w:ascii="Times New Roman" w:hAnsi="Times New Roman"/>
          <w:sz w:val="24"/>
          <w:szCs w:val="24"/>
        </w:rPr>
        <w:t>полы санитарных помещениях и жилых комнат - кварцвиниловое покрытие, на балконах - линолеум;</w:t>
      </w:r>
    </w:p>
    <w:p>
      <w:pPr>
        <w:pStyle w:val="Normal"/>
        <w:numPr>
          <w:ilvl w:val="0"/>
          <w:numId w:val="3"/>
        </w:numPr>
        <w:rPr/>
      </w:pPr>
      <w:r>
        <w:rPr>
          <w:rFonts w:eastAsia="Times New Roman" w:cs="Times New Roman" w:ascii="Times New Roman" w:hAnsi="Times New Roman"/>
          <w:sz w:val="24"/>
          <w:szCs w:val="24"/>
        </w:rPr>
        <w:t>водопровод: выполнена разводка трубопроводов, установлены приборы учёта, установлены ванна, раковина, унитаз;</w:t>
      </w:r>
    </w:p>
    <w:p>
      <w:pPr>
        <w:pStyle w:val="Normal"/>
        <w:numPr>
          <w:ilvl w:val="0"/>
          <w:numId w:val="3"/>
        </w:numPr>
        <w:rPr/>
      </w:pPr>
      <w:r>
        <w:rPr>
          <w:rFonts w:eastAsia="Times New Roman" w:cs="Times New Roman" w:ascii="Times New Roman" w:hAnsi="Times New Roman"/>
          <w:sz w:val="24"/>
          <w:szCs w:val="24"/>
        </w:rPr>
        <w:t>отопление: выполнена разводка трубопроводов, отопительные приборы установлены;</w:t>
      </w:r>
    </w:p>
    <w:p>
      <w:pPr>
        <w:pStyle w:val="Normal"/>
        <w:numPr>
          <w:ilvl w:val="0"/>
          <w:numId w:val="3"/>
        </w:numPr>
        <w:rPr/>
      </w:pPr>
      <w:r>
        <w:rPr>
          <w:rFonts w:eastAsia="Times New Roman" w:cs="Times New Roman" w:ascii="Times New Roman" w:hAnsi="Times New Roman"/>
          <w:sz w:val="24"/>
          <w:szCs w:val="24"/>
        </w:rPr>
        <w:t>выполнена покомнатная разводка электрокабеля с установкой розеток и выключателей;</w:t>
      </w:r>
    </w:p>
    <w:p>
      <w:pPr>
        <w:pStyle w:val="Normal"/>
        <w:numPr>
          <w:ilvl w:val="0"/>
          <w:numId w:val="3"/>
        </w:numPr>
        <w:rPr/>
      </w:pPr>
      <w:r>
        <w:rPr>
          <w:rFonts w:eastAsia="Times New Roman" w:cs="Times New Roman" w:ascii="Times New Roman" w:hAnsi="Times New Roman"/>
          <w:sz w:val="24"/>
          <w:szCs w:val="24"/>
        </w:rPr>
        <w:t>установка индивидуальных приборов учета тепла, холодной, горячей воды, электрической энергии;</w:t>
      </w:r>
    </w:p>
    <w:p>
      <w:pPr>
        <w:pStyle w:val="Normal"/>
        <w:numPr>
          <w:ilvl w:val="0"/>
          <w:numId w:val="3"/>
        </w:numPr>
        <w:rPr/>
      </w:pPr>
      <w:r>
        <w:rPr>
          <w:rFonts w:eastAsia="Times New Roman" w:cs="Times New Roman" w:ascii="Times New Roman" w:hAnsi="Times New Roman"/>
          <w:sz w:val="24"/>
          <w:szCs w:val="24"/>
        </w:rPr>
        <w:t>заполнение оконных проемов - установлены окна ПВХ с установкой подоконников и отделкой откосов;</w:t>
      </w:r>
    </w:p>
    <w:p>
      <w:pPr>
        <w:pStyle w:val="Normal"/>
        <w:numPr>
          <w:ilvl w:val="0"/>
          <w:numId w:val="3"/>
        </w:numPr>
        <w:rPr/>
      </w:pPr>
      <w:r>
        <w:rPr>
          <w:rFonts w:eastAsia="Times New Roman" w:cs="Times New Roman" w:ascii="Times New Roman" w:hAnsi="Times New Roman"/>
          <w:sz w:val="24"/>
          <w:szCs w:val="24"/>
        </w:rPr>
        <w:t>водоотведение (канализация) – разведены трубопроводы, установлены ванна, раковина, унитаз;</w:t>
      </w:r>
    </w:p>
    <w:p>
      <w:pPr>
        <w:pStyle w:val="Normal"/>
        <w:numPr>
          <w:ilvl w:val="0"/>
          <w:numId w:val="3"/>
        </w:numPr>
        <w:rPr/>
      </w:pPr>
      <w:r>
        <w:rPr>
          <w:rFonts w:eastAsia="Times New Roman" w:cs="Times New Roman" w:ascii="Times New Roman" w:hAnsi="Times New Roman"/>
          <w:sz w:val="24"/>
          <w:szCs w:val="24"/>
        </w:rPr>
        <w:t>установлены внутренние межкомнатные двери;</w:t>
      </w:r>
    </w:p>
    <w:p>
      <w:pPr>
        <w:pStyle w:val="Normal"/>
        <w:numPr>
          <w:ilvl w:val="0"/>
          <w:numId w:val="3"/>
        </w:numPr>
        <w:rPr/>
      </w:pPr>
      <w:r>
        <w:rPr>
          <w:rFonts w:eastAsia="Times New Roman" w:cs="Times New Roman" w:ascii="Times New Roman" w:hAnsi="Times New Roman"/>
          <w:sz w:val="24"/>
          <w:szCs w:val="24"/>
        </w:rPr>
        <w:t>дверь входная – металлическая;</w:t>
      </w:r>
    </w:p>
    <w:p>
      <w:pPr>
        <w:pStyle w:val="Normal"/>
        <w:numPr>
          <w:ilvl w:val="0"/>
          <w:numId w:val="3"/>
        </w:numPr>
        <w:rPr/>
      </w:pPr>
      <w:r>
        <w:rPr>
          <w:rFonts w:eastAsia="Times New Roman" w:cs="Times New Roman" w:ascii="Times New Roman" w:hAnsi="Times New Roman"/>
          <w:sz w:val="24"/>
          <w:szCs w:val="24"/>
        </w:rPr>
        <w:t>установка пожарных извещателей;</w:t>
      </w:r>
    </w:p>
    <w:p>
      <w:pPr>
        <w:pStyle w:val="Normal"/>
        <w:numPr>
          <w:ilvl w:val="0"/>
          <w:numId w:val="3"/>
        </w:numPr>
        <w:rPr/>
      </w:pPr>
      <w:r>
        <w:rPr>
          <w:rFonts w:eastAsia="Times New Roman" w:cs="Times New Roman" w:ascii="Times New Roman" w:hAnsi="Times New Roman"/>
          <w:sz w:val="24"/>
          <w:szCs w:val="24"/>
        </w:rPr>
        <w:t>лоджии и балконы – с остеклением;</w:t>
      </w:r>
    </w:p>
    <w:p>
      <w:pPr>
        <w:pStyle w:val="Normal"/>
        <w:numPr>
          <w:ilvl w:val="0"/>
          <w:numId w:val="3"/>
        </w:numPr>
        <w:rPr/>
      </w:pPr>
      <w:r>
        <w:rPr>
          <w:rFonts w:eastAsia="Times New Roman" w:cs="Times New Roman" w:ascii="Times New Roman" w:hAnsi="Times New Roman"/>
          <w:sz w:val="24"/>
          <w:szCs w:val="24"/>
        </w:rPr>
        <w:t>производится установка домофона;</w:t>
      </w:r>
    </w:p>
    <w:p>
      <w:pPr>
        <w:pStyle w:val="Normal"/>
        <w:numPr>
          <w:ilvl w:val="0"/>
          <w:numId w:val="3"/>
        </w:numPr>
        <w:spacing w:before="0" w:after="240"/>
        <w:rPr/>
      </w:pPr>
      <w:r>
        <w:rPr>
          <w:rFonts w:eastAsia="Times New Roman" w:cs="Times New Roman" w:ascii="Times New Roman" w:hAnsi="Times New Roman"/>
          <w:sz w:val="24"/>
          <w:szCs w:val="24"/>
        </w:rPr>
        <w:t>не производится установка: мойки на кухне, электрической плиты, электрофурнитуры, точки подключения телефона, линий Интернет, телевидения, радио.</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1.7.</w:t>
      </w:r>
      <w:r>
        <w:rPr>
          <w:rFonts w:eastAsia="Times New Roman" w:cs="Times New Roman" w:ascii="Times New Roman" w:hAnsi="Times New Roman"/>
          <w:sz w:val="24"/>
          <w:szCs w:val="24"/>
        </w:rPr>
        <w:t xml:space="preserve"> Площади Объекта долевого строительства, указанные в п. 1.1. договора, являются проектными величинами. Точные данные о размерах площадей будут установлены при технической инвентаризации объекта. Общая площадь жилого помещения, указанная в и п. 1.1 Договора, может незначительно отличаться от окончательной площади Объекта долевого строительства.  Подписывая настоящий договор, Стороны соглашаются с тем, что в случае изменения фактической площади Объекта долевого строительства менее чем на 5% (пять процентов) Стороны взаимных претензий не имеют, Цена Договора перерасчету не подлежит. Окончательная площадь указывается в передаточном акте.</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1.8.</w:t>
      </w:r>
      <w:r>
        <w:rPr>
          <w:rFonts w:eastAsia="Times New Roman" w:cs="Times New Roman" w:ascii="Times New Roman" w:hAnsi="Times New Roman"/>
          <w:sz w:val="24"/>
          <w:szCs w:val="24"/>
        </w:rPr>
        <w:t xml:space="preserve"> Заключая настоящий Договор участия в долевом строительстве (далее – Договор), Застройщик (далее - Бенефициар) и Участник долевого строительства (далее - Депонент)  адресуют Банку ВТБ (ПАО) предложения (оферты) заключить договор счета эскроу на условиях «Правил совершения операций по счетам эскроу физических лиц в Банке ВТБ (ПАО), открытым для расчетов по договорам об участии в долевом строительстве» и Договора участия в строительстве путем открытия Банком ВТБ (ПАО) счета эскроу в порядке, предусмотренном указанными Правилами. Заключая настоящий Договор участия в долевом строительстве, Бенефициар и Депонент выражают свое намерение считать себя заключившими договор счета эскроу на условиях Договора участия в долевом строительстве и указанных Правил в случае открытия Банком Счета в порядке, предусмотренном указанными Правилами.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1.9.</w:t>
      </w:r>
      <w:r>
        <w:rPr>
          <w:rFonts w:eastAsia="Times New Roman" w:cs="Times New Roman" w:ascii="Times New Roman" w:hAnsi="Times New Roman"/>
          <w:sz w:val="24"/>
          <w:szCs w:val="24"/>
        </w:rPr>
        <w:t xml:space="preserve"> Участник долевого строительства проинформирован и согласен, что право аренды земельного участка, а также имущественные права на объект незавершенного строительства, указанные в п.1.1. настоящего договора, переданы в залог  в соответствии с договором об ипотеке права аренды земельного участка №СНЛ/403325-381551-З01, заключенным между Банк ВТБ (публичное акционерное общество) и ООО СЗ «ЗСК №1».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Иные ограничения и обременения отсутствуют.</w:t>
      </w:r>
    </w:p>
    <w:p>
      <w:pPr>
        <w:pStyle w:val="Normal"/>
        <w:spacing w:before="240" w:after="24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2. Условия оплаты и порядок расчетов</w:t>
      </w:r>
    </w:p>
    <w:p>
      <w:pPr>
        <w:pStyle w:val="Normal"/>
        <w:spacing w:before="240" w:after="24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2.1.  </w:t>
      </w:r>
      <w:r>
        <w:rPr>
          <w:rFonts w:eastAsia="Times New Roman" w:cs="Times New Roman" w:ascii="Times New Roman" w:hAnsi="Times New Roman"/>
          <w:sz w:val="24"/>
          <w:szCs w:val="24"/>
        </w:rPr>
        <w:t>Общий объем денежных средств, вкладываемых Дольщиком в строительство Объекта составляет:</w:t>
      </w: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highlight w:val="yellow"/>
        </w:rPr>
        <w:t>________________________________________________________</w:t>
      </w:r>
      <w:r>
        <w:rPr>
          <w:rFonts w:eastAsia="Times New Roman" w:cs="Times New Roman" w:ascii="Times New Roman" w:hAnsi="Times New Roman"/>
          <w:b/>
          <w:sz w:val="24"/>
          <w:szCs w:val="24"/>
        </w:rPr>
        <w:t>.</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Цена договора является фиксированной и изменению не подлежит, кроме случаев, указанных в настоящем Договоре.</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Участник долевого строительства оплачивает:</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за счет собственных средств сумму в размере </w:t>
      </w: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highlight w:val="yellow"/>
        </w:rPr>
        <w:t>________________________________________________________</w:t>
      </w:r>
      <w:r>
        <w:rPr>
          <w:rFonts w:eastAsia="Times New Roman" w:cs="Times New Roman" w:ascii="Times New Roman" w:hAnsi="Times New Roman"/>
          <w:sz w:val="24"/>
          <w:szCs w:val="24"/>
        </w:rPr>
        <w:t>;</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за счет кредитных средств сумму в размере </w:t>
      </w: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highlight w:val="yellow"/>
        </w:rPr>
        <w:t>________________________________________________________</w:t>
      </w:r>
      <w:r>
        <w:rPr>
          <w:rFonts w:eastAsia="Times New Roman" w:cs="Times New Roman" w:ascii="Times New Roman" w:hAnsi="Times New Roman"/>
          <w:sz w:val="24"/>
          <w:szCs w:val="24"/>
        </w:rPr>
        <w:t xml:space="preserve"> - не позднее 5 (пяти) банковских дней с даты государственной регистрации настоящего Договора.</w:t>
      </w:r>
    </w:p>
    <w:p>
      <w:pPr>
        <w:pStyle w:val="Normal"/>
        <w:spacing w:before="240" w:after="24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t xml:space="preserve">Кредитные средства предоставляются по Кредитному договору № </w:t>
      </w:r>
      <w:r>
        <w:rPr>
          <w:rFonts w:eastAsia="Times New Roman" w:cs="Times New Roman" w:ascii="Times New Roman" w:hAnsi="Times New Roman"/>
          <w:b/>
          <w:sz w:val="24"/>
          <w:szCs w:val="24"/>
          <w:highlight w:val="yellow"/>
        </w:rPr>
        <w:t>__________________</w:t>
      </w:r>
      <w:r>
        <w:rPr>
          <w:rFonts w:eastAsia="Times New Roman" w:cs="Times New Roman" w:ascii="Times New Roman" w:hAnsi="Times New Roman"/>
          <w:b/>
          <w:sz w:val="24"/>
          <w:szCs w:val="24"/>
          <w:highlight w:val="white"/>
        </w:rPr>
        <w:t xml:space="preserve"> </w:t>
      </w:r>
      <w:r>
        <w:rPr>
          <w:rFonts w:eastAsia="Times New Roman" w:cs="Times New Roman" w:ascii="Times New Roman" w:hAnsi="Times New Roman"/>
          <w:sz w:val="24"/>
          <w:szCs w:val="24"/>
          <w:highlight w:val="white"/>
        </w:rPr>
        <w:t xml:space="preserve">от </w:t>
      </w:r>
      <w:r>
        <w:rPr>
          <w:rFonts w:eastAsia="Times New Roman" w:cs="Times New Roman" w:ascii="Times New Roman" w:hAnsi="Times New Roman"/>
          <w:sz w:val="24"/>
          <w:szCs w:val="24"/>
          <w:highlight w:val="yellow"/>
        </w:rPr>
        <w:t>_________________</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highlight w:val="white"/>
        </w:rPr>
        <w:t xml:space="preserve">заключаемому в городе Омске между Участником долевого строительства </w:t>
      </w:r>
      <w:r>
        <w:rPr>
          <w:rFonts w:eastAsia="Times New Roman" w:cs="Times New Roman" w:ascii="Times New Roman" w:hAnsi="Times New Roman"/>
          <w:sz w:val="24"/>
          <w:szCs w:val="24"/>
          <w:highlight w:val="yellow"/>
        </w:rPr>
        <w:t>_______________________</w:t>
      </w:r>
      <w:r>
        <w:rPr>
          <w:rFonts w:eastAsia="Times New Roman" w:cs="Times New Roman" w:ascii="Times New Roman" w:hAnsi="Times New Roman"/>
          <w:sz w:val="24"/>
          <w:szCs w:val="24"/>
          <w:highlight w:val="white"/>
        </w:rPr>
        <w:t xml:space="preserve"> и Банком ВТБ (ПАО), 191144, г. Санкт-Петербург, Дегтярный пер., д. 11, лит. А в лице Филиала № 5440 Банка ВТБ (ПАО) в г. Новосибирске, почтовый адрес: 630112, г. Новосибирск, ул. Фрунзе, д. 232, 234, 234/1, ИНН 7702070139, КПП 540143001, БИК 045004719, Кор./счет 30101810450040000719 в Сибирском ГУ Банка России ОКПО 19267510 (Генеральная лицензия Банка России на осуществление банковских операций Регистрационный номер – 1000), далее по тексту – Банк. Кредит предоставляется на прио</w:t>
      </w:r>
      <w:r>
        <w:rPr>
          <w:rFonts w:eastAsia="Times New Roman" w:cs="Times New Roman" w:ascii="Times New Roman" w:hAnsi="Times New Roman"/>
          <w:sz w:val="24"/>
          <w:szCs w:val="24"/>
        </w:rPr>
        <w:t>бретение Объекта долевого строительства, указанного в п.1. со сроком возврата кредита 242 месяца, считая с даты фактического предоставления кредита. За пользование кредитом Участник долевого строительства уплачивает Банку проценты из расчета годовой процентной ставки 6 % пр</w:t>
      </w:r>
      <w:r>
        <w:rPr>
          <w:rFonts w:eastAsia="Times New Roman" w:cs="Times New Roman" w:ascii="Times New Roman" w:hAnsi="Times New Roman"/>
          <w:sz w:val="24"/>
          <w:szCs w:val="24"/>
          <w:highlight w:val="white"/>
        </w:rPr>
        <w:t>оцентов годовых</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Иные условия предоставления кредита предусмотрены Кредитным договором.</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Участник долевого строительства вносит сумму собственных и кредитных денежных средств в счет оплаты цены Договора в размере</w:t>
      </w:r>
      <w:r>
        <w:rPr>
          <w:rFonts w:eastAsia="Times New Roman" w:cs="Times New Roman" w:ascii="Times New Roman" w:hAnsi="Times New Roman"/>
          <w:sz w:val="24"/>
          <w:szCs w:val="24"/>
          <w:highlight w:val="white"/>
        </w:rPr>
        <w:t xml:space="preserve"> </w:t>
      </w: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highlight w:val="yellow"/>
        </w:rPr>
        <w:t>________________________________________________________</w:t>
      </w:r>
      <w:r>
        <w:rPr>
          <w:rFonts w:eastAsia="Times New Roman" w:cs="Times New Roman" w:ascii="Times New Roman" w:hAnsi="Times New Roman"/>
          <w:sz w:val="24"/>
          <w:szCs w:val="24"/>
          <w:highlight w:val="white"/>
        </w:rPr>
        <w:t xml:space="preserve"> </w:t>
      </w:r>
      <w:r>
        <w:rPr>
          <w:rFonts w:eastAsia="Times New Roman" w:cs="Times New Roman" w:ascii="Times New Roman" w:hAnsi="Times New Roman"/>
          <w:sz w:val="24"/>
          <w:szCs w:val="24"/>
        </w:rPr>
        <w:t>с использованием номинального счета Общества с ограниченной ответственностью «Экосистема недвижимости «Метр квадратный», (далее – ООО «Экосистема недвижимости «М2»). Денежные средства (собственные)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w:t>
      </w:r>
    </w:p>
    <w:p>
      <w:pPr>
        <w:pStyle w:val="Normal"/>
        <w:spacing w:before="240" w:after="240"/>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rPr>
        <w:t>Перечисление денежных средств на счет эскроу, открытый на имя Участника долевого строительства в уполномоченном банке в счет оплаты Цены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2.2. </w:t>
      </w:r>
      <w:r>
        <w:rPr>
          <w:rFonts w:eastAsia="Times New Roman" w:cs="Times New Roman" w:ascii="Times New Roman" w:hAnsi="Times New Roman"/>
          <w:sz w:val="24"/>
          <w:szCs w:val="24"/>
        </w:rPr>
        <w:t xml:space="preserve"> Оплата  цены  настоящего  Договора,  указанной  в  пункте  2.1  настоящего  Договора, осуществляется  Участником  путем  единовременного  внесения  платежа на специальный эскроу-счет, открываемый в Банке ВТБ (ПАО) (далее - Эскроу-агент) для учета и блокирования денежных средств, полученных Эскроу-агентом от являющегося владельцем счета Участника долевого строительства в счет уплаты цены договора участия в долевом строительстве, в целях их дальнейшего перечисления Застройщику (далее -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Застройщиком,  Дольщиком и Эскроу-агентом, с учетом следующего: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Эскроу-агент: Банк ВТБ (публичное акционерное общество), Банк ВТБ (ПАО), место нахождения и адрес – 190000, г. Санкт-Петербург, ул. Большая Морская, д. 29; адрес электронной почты – Schet_escrow@vtb.ru; номер телефона – 8-800-100-24-24 или любой иной номер телефона из числа публикуемых на официальном интернет-сайте Банка, размещенном по адресу www.vtb.ru.</w:t>
      </w:r>
    </w:p>
    <w:p>
      <w:pPr>
        <w:pStyle w:val="Normal"/>
        <w:spacing w:before="240" w:after="240"/>
        <w:jc w:val="both"/>
        <w:rPr>
          <w:rFonts w:ascii="Times New Roman" w:hAnsi="Times New Roman" w:eastAsia="Times New Roman" w:cs="Times New Roman"/>
          <w:b/>
          <w:sz w:val="24"/>
          <w:szCs w:val="24"/>
          <w:highlight w:val="white"/>
        </w:rPr>
      </w:pPr>
      <w:r>
        <w:rPr>
          <w:rFonts w:eastAsia="Times New Roman" w:cs="Times New Roman" w:ascii="Times New Roman" w:hAnsi="Times New Roman"/>
          <w:b/>
          <w:sz w:val="24"/>
          <w:szCs w:val="24"/>
        </w:rPr>
        <w:t xml:space="preserve">Депонент:  </w:t>
      </w:r>
      <w:r>
        <w:rPr>
          <w:rFonts w:eastAsia="Times New Roman" w:cs="Times New Roman" w:ascii="Times New Roman" w:hAnsi="Times New Roman"/>
          <w:b/>
          <w:sz w:val="24"/>
          <w:szCs w:val="24"/>
          <w:highlight w:val="yellow"/>
        </w:rPr>
        <w:t>________________________________________________________</w:t>
      </w:r>
    </w:p>
    <w:p>
      <w:pPr>
        <w:pStyle w:val="Normal"/>
        <w:spacing w:before="240" w:after="24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Бенефициар: ООО СЗ «ЗСК №1».</w:t>
      </w:r>
    </w:p>
    <w:p>
      <w:pPr>
        <w:pStyle w:val="Normal"/>
        <w:spacing w:before="240" w:after="240"/>
        <w:jc w:val="both"/>
        <w:rPr>
          <w:rFonts w:ascii="Times New Roman" w:hAnsi="Times New Roman" w:eastAsia="Times New Roman" w:cs="Times New Roman"/>
          <w:b/>
          <w:sz w:val="24"/>
          <w:szCs w:val="24"/>
          <w:shd w:fill="FF9900" w:val="clear"/>
        </w:rPr>
      </w:pPr>
      <w:r>
        <w:rPr>
          <w:rFonts w:eastAsia="Times New Roman" w:cs="Times New Roman" w:ascii="Times New Roman" w:hAnsi="Times New Roman"/>
          <w:b/>
          <w:sz w:val="24"/>
          <w:szCs w:val="24"/>
        </w:rPr>
        <w:t xml:space="preserve">Депонируемая сумма:  </w:t>
      </w:r>
      <w:r>
        <w:rPr>
          <w:rFonts w:eastAsia="Times New Roman" w:cs="Times New Roman" w:ascii="Times New Roman" w:hAnsi="Times New Roman"/>
          <w:b/>
          <w:sz w:val="24"/>
          <w:szCs w:val="24"/>
          <w:highlight w:val="yellow"/>
        </w:rPr>
        <w:t>________________________________________________________</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Срок перечисления Депонентом суммы депонирования: в соответствие с п. 2.1 настоящего договора.</w:t>
      </w:r>
    </w:p>
    <w:p>
      <w:pPr>
        <w:pStyle w:val="Normal"/>
        <w:spacing w:before="240" w:after="240"/>
        <w:jc w:val="both"/>
        <w:rPr>
          <w:rFonts w:ascii="Times New Roman" w:hAnsi="Times New Roman" w:eastAsia="Times New Roman" w:cs="Times New Roman"/>
          <w:sz w:val="24"/>
          <w:szCs w:val="24"/>
          <w:highlight w:val="white"/>
        </w:rPr>
      </w:pPr>
      <w:r>
        <w:rPr>
          <w:rFonts w:eastAsia="Times New Roman" w:cs="Times New Roman" w:ascii="Times New Roman" w:hAnsi="Times New Roman"/>
          <w:sz w:val="24"/>
          <w:szCs w:val="24"/>
          <w:highlight w:val="white"/>
        </w:rPr>
        <w:t xml:space="preserve">Срок условного депонирования денежных средств: </w:t>
      </w:r>
      <w:r>
        <w:rPr>
          <w:rFonts w:eastAsia="Times New Roman" w:cs="Times New Roman" w:ascii="Times New Roman" w:hAnsi="Times New Roman"/>
          <w:b/>
          <w:sz w:val="24"/>
          <w:szCs w:val="24"/>
          <w:highlight w:val="white"/>
        </w:rPr>
        <w:t>до 30.03.2027 г</w:t>
      </w:r>
      <w:r>
        <w:rPr>
          <w:rFonts w:eastAsia="Times New Roman" w:cs="Times New Roman" w:ascii="Times New Roman" w:hAnsi="Times New Roman"/>
          <w:sz w:val="24"/>
          <w:szCs w:val="24"/>
          <w:highlight w:val="white"/>
        </w:rPr>
        <w:t>., но не более шести месяцев после срока ввода в эксплуатацию Объекта долевого строительства.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 качестве подтверждения оферты Застройщика на заключение Договора счета эскроу с Участником долевого строительства и Банк ВТБ (ПАО) в Банк ВТБ (ПАО) представляется копия настоящего Договора, зарегистрированного в установленном законом порядке. Копия настоящего Договора может представляться в Банк ВТБ (ПАО)  либо  Застройщиком, либо Участником долевого строительства, которого Застройщик настоящим уполномочивает на совершение данного действия.</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Участник долевого строительства обязуется не позднее 15 рабочих дней с даты подписания настоящего Договора предоставить в Банк ВТБ (ПАО)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Предоставление Застройщиком и/или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эскроу с Застройщиком и Банк ВТБ (ПАО) в соответствии с Общими условиями открытия и обслуживания счета эскроу».</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Настоящим Застройщик и Участник долевого строительства подтверждают, что уведомлены и согласны с тем, что Договор счета эскроу считается заключенным с момента открытия Банком ВТБ (ПАО) счета эскроу, о чем они будут уведомлены в порядке, установленном Общими условиями открытия и обслуживания счета эскроу.</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Основанием для перечисления уполномоченным банком (эскроу-агентом) Застройщику депонированной суммы со счета эскроу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Обязательства Участника долевого строительства по оплате считаются исполненными с момента поступления денежных средств на счет эскроу в уполномоченном банке.</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2.3.</w:t>
      </w:r>
      <w:r>
        <w:rPr>
          <w:rFonts w:eastAsia="Times New Roman" w:cs="Times New Roman" w:ascii="Times New Roman" w:hAnsi="Times New Roman"/>
          <w:sz w:val="24"/>
          <w:szCs w:val="24"/>
        </w:rPr>
        <w:t xml:space="preserve">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2.4.</w:t>
      </w:r>
      <w:r>
        <w:rPr>
          <w:rFonts w:eastAsia="Times New Roman" w:cs="Times New Roman" w:ascii="Times New Roman" w:hAnsi="Times New Roman"/>
          <w:sz w:val="24"/>
          <w:szCs w:val="24"/>
        </w:rPr>
        <w:t xml:space="preserve"> В соответствии со ст. 77.2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долевого строительства перед Банком, принятых по вышеуказанному Кредитному договору, считается находящимся в залоге у Банка в силу закона с момента государственной регистрации ипотеки в силу закона на Объект долевого строительства.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При этом Участник долевого строительства становится залогодателем, а Банк – залогодержателем Объект долевого строительства Права Банка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 долевого строительства,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Банка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ст. 77.2 (или ст. 69.1 если приобретается нежилое помещение (апартамент/машино-место/кладовка/коммерческое помещение)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 случае нерегистрации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2.5.</w:t>
      </w:r>
      <w:r>
        <w:rPr>
          <w:rFonts w:eastAsia="Times New Roman" w:cs="Times New Roman" w:ascii="Times New Roman" w:hAnsi="Times New Roman"/>
          <w:sz w:val="24"/>
          <w:szCs w:val="24"/>
        </w:rPr>
        <w:t xml:space="preserve"> Залог прав требований Участника долевого строительства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2.6.</w:t>
      </w:r>
      <w:r>
        <w:rPr>
          <w:rFonts w:eastAsia="Times New Roman" w:cs="Times New Roman" w:ascii="Times New Roman" w:hAnsi="Times New Roman"/>
          <w:sz w:val="24"/>
          <w:szCs w:val="24"/>
        </w:rPr>
        <w:t xml:space="preserve"> 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2.7.</w:t>
      </w:r>
      <w:r>
        <w:rPr>
          <w:rFonts w:eastAsia="Times New Roman" w:cs="Times New Roman" w:ascii="Times New Roman" w:hAnsi="Times New Roman"/>
          <w:sz w:val="24"/>
          <w:szCs w:val="24"/>
        </w:rPr>
        <w:t xml:space="preserve"> 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2.8.</w:t>
      </w:r>
      <w:r>
        <w:rPr>
          <w:rFonts w:eastAsia="Times New Roman" w:cs="Times New Roman" w:ascii="Times New Roman" w:hAnsi="Times New Roman"/>
          <w:sz w:val="24"/>
          <w:szCs w:val="24"/>
        </w:rPr>
        <w:t xml:space="preserve"> 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долевого строительства – </w:t>
      </w:r>
      <w:r>
        <w:rPr>
          <w:rFonts w:eastAsia="Times New Roman" w:cs="Times New Roman" w:ascii="Times New Roman" w:hAnsi="Times New Roman"/>
          <w:b/>
          <w:sz w:val="24"/>
          <w:szCs w:val="24"/>
          <w:highlight w:val="yellow"/>
        </w:rPr>
        <w:t>____________________________________________</w:t>
      </w:r>
      <w:r>
        <w:rPr>
          <w:rFonts w:eastAsia="Times New Roman" w:cs="Times New Roman" w:ascii="Times New Roman" w:hAnsi="Times New Roman"/>
          <w:sz w:val="24"/>
          <w:szCs w:val="24"/>
        </w:rPr>
        <w:t xml:space="preserve">, путем их перечисления эскроу-агентом на счет Участника долевого строительства – </w:t>
      </w:r>
      <w:r>
        <w:rPr>
          <w:rFonts w:eastAsia="Times New Roman" w:cs="Times New Roman" w:ascii="Times New Roman" w:hAnsi="Times New Roman"/>
          <w:b/>
          <w:sz w:val="24"/>
          <w:szCs w:val="24"/>
          <w:highlight w:val="yellow"/>
        </w:rPr>
        <w:t>____________________________________________</w:t>
      </w: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highlight w:val="yellow"/>
        </w:rPr>
        <w:t>_________________________</w:t>
      </w:r>
      <w:r>
        <w:rPr>
          <w:rFonts w:eastAsia="Times New Roman" w:cs="Times New Roman" w:ascii="Times New Roman" w:hAnsi="Times New Roman"/>
          <w:sz w:val="24"/>
          <w:szCs w:val="24"/>
        </w:rPr>
        <w:t xml:space="preserve"> открытого в</w:t>
      </w:r>
      <w:r>
        <w:rPr>
          <w:sz w:val="24"/>
          <w:szCs w:val="24"/>
        </w:rPr>
        <w:t xml:space="preserve"> </w:t>
      </w:r>
      <w:r>
        <w:rPr>
          <w:rFonts w:eastAsia="Times New Roman" w:cs="Times New Roman" w:ascii="Times New Roman" w:hAnsi="Times New Roman"/>
          <w:sz w:val="24"/>
          <w:szCs w:val="24"/>
        </w:rPr>
        <w:t>ВТБ (ПАО)</w:t>
      </w:r>
      <w:r>
        <w:rPr>
          <w:rFonts w:eastAsia="Times New Roman" w:cs="Times New Roman" w:ascii="Times New Roman" w:hAnsi="Times New Roman"/>
          <w:sz w:val="24"/>
          <w:szCs w:val="24"/>
          <w:highlight w:val="white"/>
        </w:rPr>
        <w:t>. При заключении договора счета эскроу, Участник долевого ст</w:t>
      </w:r>
      <w:r>
        <w:rPr>
          <w:rFonts w:eastAsia="Times New Roman" w:cs="Times New Roman" w:ascii="Times New Roman" w:hAnsi="Times New Roman"/>
          <w:sz w:val="24"/>
          <w:szCs w:val="24"/>
        </w:rPr>
        <w:t xml:space="preserve">роительства обязан указать в договоре счета эскроу указанный номер счета, в качестве счета на который осуществляется возврат денежных средств.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240" w:after="24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3. Обязанности сторон</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3.1.</w:t>
      </w:r>
      <w:r>
        <w:rPr>
          <w:rFonts w:eastAsia="Times New Roman" w:cs="Times New Roman" w:ascii="Times New Roman" w:hAnsi="Times New Roman"/>
          <w:sz w:val="24"/>
          <w:szCs w:val="24"/>
        </w:rPr>
        <w:t xml:space="preserve"> </w:t>
      </w:r>
      <w:r>
        <w:rPr>
          <w:rFonts w:eastAsia="Times New Roman" w:cs="Times New Roman" w:ascii="Times New Roman" w:hAnsi="Times New Roman"/>
          <w:b/>
          <w:sz w:val="24"/>
          <w:szCs w:val="24"/>
        </w:rPr>
        <w:t>Застройщик обязуется</w:t>
      </w:r>
      <w:r>
        <w:rPr>
          <w:rFonts w:eastAsia="Times New Roman" w:cs="Times New Roman" w:ascii="Times New Roman" w:hAnsi="Times New Roman"/>
          <w:sz w:val="24"/>
          <w:szCs w:val="24"/>
        </w:rPr>
        <w:t>:</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3.1.1.</w:t>
      </w:r>
      <w:r>
        <w:rPr>
          <w:rFonts w:eastAsia="Times New Roman" w:cs="Times New Roman" w:ascii="Times New Roman" w:hAnsi="Times New Roman"/>
          <w:sz w:val="24"/>
          <w:szCs w:val="24"/>
        </w:rPr>
        <w:t xml:space="preserve"> Осуществить комплекс организационных и технических мероприятий, направленных на обеспечение строительства Объекта в соответствии с проектной документацией и сроками строительства и ввести Объект в эксплуатацию.</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3.1.2.</w:t>
      </w:r>
      <w:r>
        <w:rPr>
          <w:rFonts w:eastAsia="Times New Roman" w:cs="Times New Roman" w:ascii="Times New Roman" w:hAnsi="Times New Roman"/>
          <w:sz w:val="24"/>
          <w:szCs w:val="24"/>
        </w:rPr>
        <w:t xml:space="preserve">  Предоставлять по требованию Дольщика всю необходимую информацию о ходе строительства.</w:t>
      </w:r>
    </w:p>
    <w:p>
      <w:pPr>
        <w:pStyle w:val="Normal"/>
        <w:spacing w:before="240" w:after="240"/>
        <w:jc w:val="both"/>
        <w:rPr>
          <w:rFonts w:ascii="Times New Roman" w:hAnsi="Times New Roman" w:eastAsia="Times New Roman" w:cs="Times New Roman"/>
          <w:b/>
          <w:sz w:val="24"/>
          <w:szCs w:val="24"/>
        </w:rPr>
      </w:pPr>
      <w:r>
        <w:rPr>
          <w:rFonts w:eastAsia="Times New Roman" w:cs="Times New Roman" w:ascii="Times New Roman" w:hAnsi="Times New Roman"/>
          <w:b/>
          <w:sz w:val="24"/>
          <w:szCs w:val="24"/>
        </w:rPr>
        <w:t>3.1.3.</w:t>
      </w:r>
      <w:r>
        <w:rPr>
          <w:rFonts w:eastAsia="Times New Roman" w:cs="Times New Roman" w:ascii="Times New Roman" w:hAnsi="Times New Roman"/>
          <w:sz w:val="24"/>
          <w:szCs w:val="24"/>
        </w:rPr>
        <w:t xml:space="preserve">  После окончания строительства дома и при выполнении Дольщиком всех договорных обязательств в соответствии с разделом 2 настоящего договора передать Объект Дольщику. Передача Объекта осуществляется по акту приема-передачи </w:t>
      </w:r>
      <w:r>
        <w:rPr>
          <w:rFonts w:eastAsia="Times New Roman" w:cs="Times New Roman" w:ascii="Times New Roman" w:hAnsi="Times New Roman"/>
          <w:b/>
          <w:sz w:val="24"/>
          <w:szCs w:val="24"/>
        </w:rPr>
        <w:t xml:space="preserve">не позднее </w:t>
      </w:r>
      <w:r>
        <w:rPr>
          <w:rFonts w:eastAsia="Times New Roman" w:cs="Times New Roman" w:ascii="Times New Roman" w:hAnsi="Times New Roman"/>
          <w:b/>
          <w:sz w:val="24"/>
          <w:szCs w:val="24"/>
          <w:lang w:val="en-US"/>
        </w:rPr>
        <w:t>30</w:t>
      </w: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lang w:val="ru-RU"/>
        </w:rPr>
        <w:t xml:space="preserve">марта </w:t>
      </w:r>
      <w:r>
        <w:rPr>
          <w:rFonts w:eastAsia="Times New Roman" w:cs="Times New Roman" w:ascii="Times New Roman" w:hAnsi="Times New Roman"/>
          <w:b/>
          <w:sz w:val="24"/>
          <w:szCs w:val="24"/>
        </w:rPr>
        <w:t>202</w:t>
      </w:r>
      <w:r>
        <w:rPr>
          <w:rFonts w:eastAsia="Times New Roman" w:cs="Times New Roman" w:ascii="Times New Roman" w:hAnsi="Times New Roman"/>
          <w:b/>
          <w:sz w:val="24"/>
          <w:szCs w:val="24"/>
          <w:lang w:val="en-US"/>
        </w:rPr>
        <w:t>7</w:t>
      </w:r>
      <w:r>
        <w:rPr>
          <w:rFonts w:eastAsia="Times New Roman" w:cs="Times New Roman" w:ascii="Times New Roman" w:hAnsi="Times New Roman"/>
          <w:b/>
          <w:sz w:val="24"/>
          <w:szCs w:val="24"/>
        </w:rPr>
        <w:t xml:space="preserve"> года.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3.1.4.</w:t>
      </w:r>
      <w:r>
        <w:rPr>
          <w:rFonts w:eastAsia="Times New Roman" w:cs="Times New Roman" w:ascii="Times New Roman" w:hAnsi="Times New Roman"/>
          <w:sz w:val="24"/>
          <w:szCs w:val="24"/>
        </w:rPr>
        <w:t xml:space="preserve"> Подготовить пакет документов, необходимых для регистрации прав собственности Дольщика на Объект, и предоставить его в регистрирующий орган.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Обязательства Застройщика, указанные в п. 3.1. договора считаются исполненными в полном объеме после ввода в установленном порядке Объекта в эксплуатацию и оформления права собственности Дольщика на Объект долевого участия, строительство которого Дольщик проинвестировал в соответствии с условиями настоящего договора.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3.1.5.</w:t>
      </w:r>
      <w:r>
        <w:rPr>
          <w:rFonts w:eastAsia="Times New Roman" w:cs="Times New Roman" w:ascii="Times New Roman" w:hAnsi="Times New Roman"/>
          <w:sz w:val="24"/>
          <w:szCs w:val="24"/>
        </w:rPr>
        <w:t xml:space="preserve"> Застройщик вправе вносить изменения  и  дополнения  в  проектную  документацию,  иную  исходно-разрешительную  документацию по  строительству  Объекта  в  порядке,  предусмотренном законодательством Российской Федерации, а Дольщик  соглашается и принимает во внимание, что такие  изменения  могут  быть  внесены,  и  обязуется  самостоятельно  знакомиться  с  такими изменениями, которые будут официально публиковаться Застройщиком в проектной декларации и иной документации, размещенной в единой информационной системе жилищного строительства в информационно-телекоммуникационной сети «Интернет».</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3.1.6.</w:t>
      </w:r>
      <w:r>
        <w:rPr>
          <w:rFonts w:eastAsia="Times New Roman" w:cs="Times New Roman" w:ascii="Times New Roman" w:hAnsi="Times New Roman"/>
          <w:sz w:val="24"/>
          <w:szCs w:val="24"/>
        </w:rPr>
        <w:t xml:space="preserve"> Застройщик вправе досрочно передать, а Участник долевого строительства в этом случае обязан досрочно принять объект долевого строительства при условии полной оплаты цены договора. Для инициирования досрочной передачи Застройщик направляет Участнику долевого строительства соответствующее уведомление по электронной почте или по почтовому адресу заказным письмом с описью вложения и уведомлением о вручении по указанному участником долевого строительства почтовому адресу, либо вручает участнику долевого строительства лично под расписку.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3.1.7.</w:t>
      </w:r>
      <w:r>
        <w:rPr>
          <w:rFonts w:eastAsia="Times New Roman" w:cs="Times New Roman" w:ascii="Times New Roman" w:hAnsi="Times New Roman"/>
          <w:sz w:val="24"/>
          <w:szCs w:val="24"/>
        </w:rPr>
        <w:t xml:space="preserve"> Застройщик после передачи объекта долевого строительства участнику долевого строительства и осуществления государственного кадастрового учета этого объекта в срок не позднее 30 (тридцати) рабочих дней со дня подписания передаточного акта, одностороннего акта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3.2 Дольщик обязуется</w:t>
      </w:r>
      <w:r>
        <w:rPr>
          <w:rFonts w:eastAsia="Times New Roman" w:cs="Times New Roman" w:ascii="Times New Roman" w:hAnsi="Times New Roman"/>
          <w:sz w:val="24"/>
          <w:szCs w:val="24"/>
        </w:rPr>
        <w:t>:</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3.2.1.</w:t>
      </w:r>
      <w:r>
        <w:rPr>
          <w:rFonts w:eastAsia="Times New Roman" w:cs="Times New Roman" w:ascii="Times New Roman" w:hAnsi="Times New Roman"/>
          <w:sz w:val="24"/>
          <w:szCs w:val="24"/>
        </w:rPr>
        <w:t xml:space="preserve"> Уплатить цену настоящего Договора в полном объеме, указанном в пунктах 2.1, 2.2 настоящего Договора, в порядке и сроки, установленные разделом 2 настоящего Договора.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3.2.2</w:t>
      </w:r>
      <w:r>
        <w:rPr>
          <w:rFonts w:eastAsia="Times New Roman" w:cs="Times New Roman" w:ascii="Times New Roman" w:hAnsi="Times New Roman"/>
          <w:sz w:val="24"/>
          <w:szCs w:val="24"/>
        </w:rPr>
        <w:t xml:space="preserve">. В течение 10 (десяти) дней после получения извещения от Застройщика об окончании строительства жилого дома осуществить приемку Объекта.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При неявке Дольщика для приемки Объекта в срок, установленный настоящим Договором, при  отказе  и  (или)  уклонении  Дольщика  от  приемки  Объекта,  а  также  при несовершении  Дольщиком  необходимых  действий,  предшествующих  согласно  условиям настоящего  Договора  приемке  Объекта,  Застройщик  вправе  в  срок,  указанный  в  п.  6  ст. 8 Федерального закона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оформить односторонний акт приема-передачи Объекта.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Наличие устранимых дефектов (несоответствий) приборов отопления, оконных блоков, дверей, а также иных видимых дефектов, позволяющих использовать объект долевого строительства в соответствии с его назначением (с учетом п. 1.1 настоящего Договора, в том числе не препятствующих выполнению ремонтных отделочных работ), не является основанием отказа Участника долевого строительства от подписания акта приема-передачи. В случае выявления таких дефектов Стороны указывают их перечень в акте приема-передачи для устранения Застройщиком.</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3.2.3.</w:t>
      </w:r>
      <w:r>
        <w:rPr>
          <w:rFonts w:eastAsia="Times New Roman" w:cs="Times New Roman" w:ascii="Times New Roman" w:hAnsi="Times New Roman"/>
          <w:sz w:val="24"/>
          <w:szCs w:val="24"/>
        </w:rPr>
        <w:t xml:space="preserve"> С момента передачи Объекта долевого строительства Участнику по Акту приема-передачи (с момента составления Застройщиком одностороннего Акта) бремя содержания Объекта долевого строительства несет Дольщик, в том числе по исполнению обязанностей технического обслуживания и эксплуатации Объекта, инженерных коммуникаций и оборудования; возмещения другим лицам вреда, причиненного имуществом, входящим в состав Объекта (строительно-монтажные конструкции, инженерные коммуникации, оборудования, сети и т.п.); осуществления капитального, текущего ремонта и других обязанностей, связанных с получением Объекта Участником долевого строительства. В день передачи Участнику долевого строительства Объекта по акту приема-передачи Участник долевого строительства обязан заключить договор с управляющей организацией.</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3.2.4.</w:t>
      </w:r>
      <w:r>
        <w:rPr>
          <w:rFonts w:eastAsia="Times New Roman" w:cs="Times New Roman" w:ascii="Times New Roman" w:hAnsi="Times New Roman"/>
          <w:sz w:val="24"/>
          <w:szCs w:val="24"/>
        </w:rPr>
        <w:t xml:space="preserve"> Согласовать с Застройщиком уступку права требования Объекта по настоящему договору третьему лицу.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 Согласование уступки производится исключительно с целью идентификации нового дольщика, поскольку его личность для Застройщика имеет существенное значение. Необоснованный отказ в согласовании уступки не допускается.</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3.2.5.</w:t>
      </w:r>
      <w:r>
        <w:rPr>
          <w:rFonts w:eastAsia="Times New Roman" w:cs="Times New Roman" w:ascii="Times New Roman" w:hAnsi="Times New Roman"/>
          <w:sz w:val="24"/>
          <w:szCs w:val="24"/>
        </w:rPr>
        <w:t xml:space="preserve"> Предоставить Застройщику документы, необходимые для оформления и регистрации права собственности Дольщика на Объект.</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Дольщик обязан незамедлительно уведомить Застройщика об изменении своего места проживания и паспортных данных, а также адреса электронной почты. В противном случае Застройщик не несет ответственности за неполучение Дольщиком уведомлений, предусмотренных Договором и действующим законодательством.</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3.2.6. </w:t>
      </w:r>
      <w:r>
        <w:rPr>
          <w:rFonts w:eastAsia="Times New Roman" w:cs="Times New Roman" w:ascii="Times New Roman" w:hAnsi="Times New Roman"/>
          <w:sz w:val="24"/>
          <w:szCs w:val="24"/>
        </w:rPr>
        <w:t>Участник долевого строительства принимает на себя обязательство до оформления права собственности на Объект не проводить работы, связанные с отступлением от проекта (перепланировка, разводка всех инженерных коммуникаций, электрики, пробивка проемов, ниш, борозд в стенах и перекрытиях и т.д.), а также не осуществлять переустройство или перепланировку.</w:t>
      </w:r>
    </w:p>
    <w:p>
      <w:pPr>
        <w:pStyle w:val="Normal"/>
        <w:spacing w:before="240" w:after="240"/>
        <w:ind w:right="4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Участник долевого строительства принимает на себя обязательство не проводить в Объекте и в самом многоквартирном доме работы, которые затрагивают фасад дома и его элементы (в том числе любое остекление лоджий, установка снаружи здания любых устройств и сооружений, любые работы, затрагивающие внешний вид и конструкцию фасада дома).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Все работы по доведению Объекта до полной готовности для проживания выполняются Участником долевого строительства самостоятельно, за свой счет и по своему усмотрению, с привлечением лицензированных организаций после подписания передаточного акта и оформления права собственности на Объект долевого строительства. В случае осуществления ремонтных работ, предполагающих перепланировку или переустройство Объекта, Участник долевого строительства обязан произвести соответствующие согласования.</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Риск производства перепланировок, их согласование и регистрация в соответствующих органах, ответственность перед третьими лицами возлагается в полном объеме на Участника долевого строительства.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3.2.7.</w:t>
      </w:r>
      <w:r>
        <w:rPr>
          <w:rFonts w:eastAsia="Times New Roman" w:cs="Times New Roman" w:ascii="Times New Roman" w:hAnsi="Times New Roman"/>
          <w:sz w:val="24"/>
          <w:szCs w:val="24"/>
        </w:rPr>
        <w:t xml:space="preserve"> Участник долевого строительства принимает на себя обязательство нести расходы, связанные с государственной регистрацией настоящего Договора.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3.2.8.</w:t>
      </w:r>
      <w:r>
        <w:rPr>
          <w:rFonts w:eastAsia="Times New Roman" w:cs="Times New Roman" w:ascii="Times New Roman" w:hAnsi="Times New Roman"/>
          <w:sz w:val="24"/>
          <w:szCs w:val="24"/>
        </w:rPr>
        <w:t xml:space="preserve"> Участник долевого строительства обязан уведомить Банк-Кредитор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 Кредитора соответствующего письма с уведомлением о вручении.</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 случае нерегистрации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 - Кредитором Договор о залоге Прав требования. Права требования по Договору участия в долевом строительстве будут считаться находящимися в залоге у Банка - Кредитора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pPr>
        <w:pStyle w:val="Normal"/>
        <w:spacing w:before="240" w:after="24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Последующий залог, иное обременение, отчуждение, перепланировка/переустройство допускаются только с предварительного письменного согласия Банка - Кредитора</w:t>
      </w:r>
    </w:p>
    <w:p>
      <w:pPr>
        <w:pStyle w:val="Normal"/>
        <w:spacing w:before="240" w:after="24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4. Ответственность сторон</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4.1. </w:t>
      </w:r>
      <w:r>
        <w:rPr>
          <w:rFonts w:eastAsia="Times New Roman" w:cs="Times New Roman" w:ascii="Times New Roman" w:hAnsi="Times New Roman"/>
          <w:sz w:val="24"/>
          <w:szCs w:val="24"/>
        </w:rPr>
        <w:t>За невыполнение или ненадлежащее выполнение обязательств по настоящему договору Стороны несут ответственность в соответствии с действующим гражданским законодательством РФ.</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4.2.  </w:t>
      </w:r>
      <w:r>
        <w:rPr>
          <w:rFonts w:eastAsia="Times New Roman" w:cs="Times New Roman" w:ascii="Times New Roman" w:hAnsi="Times New Roman"/>
          <w:sz w:val="24"/>
          <w:szCs w:val="24"/>
        </w:rPr>
        <w:t>В случае нарушения Участником долевого строительства обязательств, предусмотренных п. 3.2.6. настоящего Договора, Участник долевого строительства оплачивает стоимость восстановительных работ в течение одного месяца с момента получения соответствующего требования. При этом согласие Участника долевого строительства на проведение Застройщиком восстановительных работ не требуется.</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4.3.</w:t>
      </w:r>
      <w:r>
        <w:rPr>
          <w:rFonts w:eastAsia="Times New Roman" w:cs="Times New Roman" w:ascii="Times New Roman" w:hAnsi="Times New Roman"/>
          <w:sz w:val="24"/>
          <w:szCs w:val="24"/>
        </w:rPr>
        <w:t xml:space="preserve">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В случае образования просроченной задолженности внесения платежей по графику, если таковой установлен договором, суммы, выплачиваемые Участником долевого строительства в погашение указанной задолженности, направляются вначале на погашение долга по пене, а затем засчитываются в счет внесения платежей по графику.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4.4.</w:t>
      </w:r>
      <w:r>
        <w:rPr>
          <w:rFonts w:eastAsia="Times New Roman" w:cs="Times New Roman" w:ascii="Times New Roman" w:hAnsi="Times New Roman"/>
          <w:sz w:val="24"/>
          <w:szCs w:val="24"/>
        </w:rPr>
        <w:t xml:space="preserve">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просрочки внесения платежа в течение более чем двух месяцев, является основанием для одностороннего отказа Застройщика от исполнения Договора.</w:t>
      </w:r>
    </w:p>
    <w:p>
      <w:pPr>
        <w:pStyle w:val="Normal"/>
        <w:spacing w:before="240" w:after="24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5. Обстоятельства непреодолимой силы</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5.1.</w:t>
      </w:r>
      <w:r>
        <w:rPr>
          <w:rFonts w:eastAsia="Times New Roman" w:cs="Times New Roman" w:ascii="Times New Roman" w:hAnsi="Times New Roman"/>
          <w:sz w:val="24"/>
          <w:szCs w:val="24"/>
        </w:rPr>
        <w:t xml:space="preserve"> При наступлении обстоятельств непреодолимой силы, препятствующих полному или частичному исполнению обязательств по настоящему договору, срок исполнения обязательств отодвигается соразмерно времени, в течение которого будут действовать такие обстоятельства.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5.2.</w:t>
      </w:r>
      <w:r>
        <w:rPr>
          <w:rFonts w:eastAsia="Times New Roman" w:cs="Times New Roman" w:ascii="Times New Roman" w:hAnsi="Times New Roman"/>
          <w:sz w:val="24"/>
          <w:szCs w:val="24"/>
        </w:rPr>
        <w:t xml:space="preserve"> Под обстоятельствами непреодолимой силы стороны понимают пожары, стихийные бедствия природного и техногенного характера, забастовки, военные действия, издание законодательных и нормативных актов.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5.3.</w:t>
      </w:r>
      <w:r>
        <w:rPr>
          <w:rFonts w:eastAsia="Times New Roman" w:cs="Times New Roman" w:ascii="Times New Roman" w:hAnsi="Times New Roman"/>
          <w:sz w:val="24"/>
          <w:szCs w:val="24"/>
        </w:rPr>
        <w:t xml:space="preserve"> При наступлении обстоятельств непреодолимой силы, стороны освобождаются от ответственности за неисполнение (ненадлежащее исполнение) обязательств.</w:t>
      </w:r>
    </w:p>
    <w:p>
      <w:pPr>
        <w:pStyle w:val="Normal"/>
        <w:spacing w:before="240" w:after="24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6. Прочие условия.</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6.1.</w:t>
      </w:r>
      <w:r>
        <w:rPr>
          <w:rFonts w:eastAsia="Times New Roman" w:cs="Times New Roman" w:ascii="Times New Roman" w:hAnsi="Times New Roman"/>
          <w:sz w:val="24"/>
          <w:szCs w:val="24"/>
        </w:rPr>
        <w:t xml:space="preserve"> Стороны устанавливают обязательный претензионный порядок урегулирования спора. В течение 30 (тридцати) дней со дня поступления рассматриваются только документы, поступившие в письменном виде. Претензии подаются через почту заказными письмами с уведомлением о вручении по адресам, указанным в настоящем договоре. Каждая из сторон обязана в пятидневный срок уведомить другую сторону о смене адреса. Иной порядок подачи и рассмотрения претензий не предусмотрен.</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6.2.</w:t>
      </w:r>
      <w:r>
        <w:rPr>
          <w:rFonts w:eastAsia="Times New Roman" w:cs="Times New Roman" w:ascii="Times New Roman" w:hAnsi="Times New Roman"/>
          <w:sz w:val="24"/>
          <w:szCs w:val="24"/>
        </w:rPr>
        <w:t xml:space="preserve">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3 (три) года с момента передачи его Участнику долевого строительства.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(три) года, если иной срок на оборудование не предусмотрен заводом изготовителем.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Гарантийные сроки на отдельные использованные в Объекте долевого строительства изделия, материалы, оборудование определяются в соответствии с техническими регламентами или гарантией производителей этих изделий, материалов, оборудования.</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Все обнаруженные в течение гарантийного срока недостатки, которые не могли быть выявлены при осмотре Объекта и подписании передаточного акта, должны быть устранены Застройщиком самостоятельно или с привлечением третьих лиц. Недостатки, появившиеся в результате преднамеренных действий Участника долевого строительства или лиц совместно с ним проживающих, в результате противоправных действий третьих лиц или ненадлежащей эксплуатации Квартиры не являются предметом гарантии.</w:t>
      </w:r>
    </w:p>
    <w:p>
      <w:pPr>
        <w:pStyle w:val="Normal"/>
        <w:spacing w:before="240" w:after="240"/>
        <w:jc w:val="both"/>
        <w:rPr>
          <w:rFonts w:ascii="Times New Roman" w:hAnsi="Times New Roman" w:eastAsia="Times New Roman" w:cs="Times New Roman"/>
          <w:b/>
          <w:sz w:val="24"/>
          <w:szCs w:val="24"/>
        </w:rPr>
      </w:pPr>
      <w:r>
        <w:rPr>
          <w:rFonts w:eastAsia="Times New Roman" w:cs="Times New Roman" w:ascii="Times New Roman" w:hAnsi="Times New Roman"/>
          <w:sz w:val="24"/>
          <w:szCs w:val="24"/>
        </w:rPr>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нарушения требований технических и градостроительных норм, а также иных обязательных требований к процессу его эксплуатации, либо вследствие ненадлежащего ремонта (в том числе переустройств, перепланировок), проведенного самим Дольщиком или привлеченными им третьими лицами, повреждения Объекта со стороны Дольщика или третьих лиц</w:t>
      </w:r>
      <w:r>
        <w:rPr>
          <w:rFonts w:eastAsia="Times New Roman" w:cs="Times New Roman" w:ascii="Times New Roman" w:hAnsi="Times New Roman"/>
          <w:b/>
          <w:sz w:val="24"/>
          <w:szCs w:val="24"/>
        </w:rPr>
        <w:t>.</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 случае, если Объект долевого строительства построен Застройщиком с отступлениями от условий договора или с иными недостатками, приведшими к ухудшению качества такого Объекта и делающие его непригодным для предусмотренного договором использования, что подтверждается результатами строительной экспертизы, при отсутствии оснований, предусмотренных данным договором, Застройщик устраняет выявленные нарушения в срок, необходимый для их устранения, но не более 45 (сорок пять) календарных дней, если иной срок не предусмотрен иными нормативными актами, регулирующими деятельность Застройщика.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В случае обнаружения недостатка Объекта долевого строительства Участник долевого строительства обязан письменно обратиться к Застройщику, предъявив при этом копию выписки из единого государственного реестра прав на недвижимое имущество и сделок с ним, удостоверяющую проведенную государственную регистрацию прав на Объект долевого строительства, копию настоящего договора, копию Передаточного акта на Объект долевого строительства и документы, обосновывающие заявленные требования.</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Застройщик обязан устранить выявленные гарантийные недостатки (дефекты) в срок, не превышающий 45 (сорок пять) календарных дней, если иной срок не предусмотрен иными нормативными актами, регулирующими деятельность Застройщика. </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6.3.</w:t>
      </w:r>
      <w:r>
        <w:rPr>
          <w:rFonts w:eastAsia="Times New Roman" w:cs="Times New Roman" w:ascii="Times New Roman" w:hAnsi="Times New Roman"/>
          <w:sz w:val="24"/>
          <w:szCs w:val="24"/>
        </w:rPr>
        <w:t xml:space="preserve">  Участник долевого строительства подписанием настоящего Договора дает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   Участник долевого строительства не возражает против получения  информационных сообщений от Застройщика на указанный им адрес электронной почты или мобильный телефон.</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6.4. </w:t>
      </w:r>
      <w:r>
        <w:rPr>
          <w:rFonts w:eastAsia="Times New Roman" w:cs="Times New Roman" w:ascii="Times New Roman" w:hAnsi="Times New Roman"/>
          <w:sz w:val="24"/>
          <w:szCs w:val="24"/>
        </w:rPr>
        <w:t>Подписывая настоящий Договор, Участник долевого строительства дает свое согласие на распоряжение любым образом земельным участком (далее – Земельный участок), указанным в п. 1.1. настоящего Договора, включая передачу в залог (ипотеку), сдачу в аренду, передачу прав и обязанностей, проведение любых работ по межеванию земельного участка,  осуществление раздела, объединения, перераспределения Земельного участка и выдела из Земельного участка других (другого) земельных участков, а также на передачу Застройщиком своих прав и обязанностей по настоящему Договору третьему лицу при условии соблюдения обязанностей Застройщика перед Участником долевого строительства по настоящему Договору.</w:t>
      </w:r>
    </w:p>
    <w:p>
      <w:pPr>
        <w:pStyle w:val="Normal"/>
        <w:spacing w:before="240" w:after="240"/>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7. Срок действия и порядок изменения, расторжения договора.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7.1.</w:t>
      </w:r>
      <w:r>
        <w:rPr>
          <w:rFonts w:eastAsia="Times New Roman" w:cs="Times New Roman" w:ascii="Times New Roman" w:hAnsi="Times New Roman"/>
          <w:sz w:val="24"/>
          <w:szCs w:val="24"/>
        </w:rPr>
        <w:t xml:space="preserve"> Договор подлежит государственной регистрации и считается заключенным с момента такой регистрации, действует до полного исполнения сторонами всех принятых на себя обязательств надлежащим образом.</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7.2.</w:t>
      </w:r>
      <w:r>
        <w:rPr>
          <w:rFonts w:eastAsia="Times New Roman" w:cs="Times New Roman" w:ascii="Times New Roman" w:hAnsi="Times New Roman"/>
          <w:sz w:val="24"/>
          <w:szCs w:val="24"/>
        </w:rPr>
        <w:t xml:space="preserve"> Договор может быть изменен или расторгнут по соглашению сторон. Все изменения договора оформляются путем подписания сторонами соглашения, которое является неотъемлемой частью настоящего договора, подлежат обязательной регистрации и вступают в силу с момента такой регистрации.</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Обо всех изменениях сведений, указанных в главе 8, каждая Сторона обязана немедленно уведомить другую Сторону в устном порядке, одновременно продублировав указанное уведомление в письменном виде в течение 3 (Трех) дней с даты изменения соответствующих сведений.</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7.3.</w:t>
      </w:r>
      <w:r>
        <w:rPr>
          <w:rFonts w:eastAsia="Times New Roman" w:cs="Times New Roman" w:ascii="Times New Roman" w:hAnsi="Times New Roman"/>
          <w:sz w:val="24"/>
          <w:szCs w:val="24"/>
        </w:rPr>
        <w:t xml:space="preserve"> Настоящий договор составлен в 2-х экземплярах, имеющих равную юридическую силу, один – для Застройщика, один – для участника долевого строительства.</w:t>
      </w:r>
    </w:p>
    <w:p>
      <w:pPr>
        <w:pStyle w:val="Normal"/>
        <w:spacing w:before="240" w:after="240"/>
        <w:jc w:val="both"/>
        <w:rPr>
          <w:rFonts w:ascii="Times New Roman" w:hAnsi="Times New Roman" w:eastAsia="Times New Roman" w:cs="Times New Roman"/>
          <w:sz w:val="24"/>
          <w:szCs w:val="24"/>
        </w:rPr>
      </w:pPr>
      <w:r>
        <w:rPr>
          <w:rFonts w:eastAsia="Times New Roman" w:cs="Times New Roman" w:ascii="Times New Roman" w:hAnsi="Times New Roman"/>
          <w:b/>
          <w:sz w:val="24"/>
          <w:szCs w:val="24"/>
        </w:rPr>
        <w:t xml:space="preserve">7.4. </w:t>
      </w:r>
      <w:r>
        <w:rPr>
          <w:rFonts w:eastAsia="Times New Roman" w:cs="Times New Roman" w:ascii="Times New Roman" w:hAnsi="Times New Roman"/>
          <w:sz w:val="24"/>
          <w:szCs w:val="24"/>
        </w:rPr>
        <w:t>Во всем, что не предусмотрено настоящим договором, стороны руководствуются действующим законодательством РФ.</w:t>
      </w:r>
    </w:p>
    <w:p>
      <w:pPr>
        <w:pStyle w:val="Normal"/>
        <w:spacing w:before="240" w:after="240"/>
        <w:jc w:val="both"/>
        <w:rPr>
          <w:rFonts w:ascii="Times New Roman" w:hAnsi="Times New Roman" w:eastAsia="Times New Roman" w:cs="Times New Roman"/>
          <w:b/>
        </w:rPr>
      </w:pPr>
      <w:r>
        <w:rPr>
          <w:rFonts w:eastAsia="Times New Roman" w:cs="Times New Roman" w:ascii="Times New Roman" w:hAnsi="Times New Roman"/>
          <w:b/>
          <w:sz w:val="24"/>
          <w:szCs w:val="24"/>
        </w:rPr>
        <w:t xml:space="preserve">7.5 </w:t>
      </w:r>
      <w:r>
        <w:rPr>
          <w:rFonts w:eastAsia="Times New Roman" w:cs="Times New Roman" w:ascii="Times New Roman" w:hAnsi="Times New Roman"/>
          <w:sz w:val="24"/>
          <w:szCs w:val="24"/>
        </w:rPr>
        <w:t>Приложения к Договору: 1. План объекта долевого строительства.</w:t>
      </w:r>
    </w:p>
    <w:p>
      <w:pPr>
        <w:pStyle w:val="Normal"/>
        <w:spacing w:before="240" w:after="240"/>
        <w:jc w:val="center"/>
        <w:rPr>
          <w:rFonts w:ascii="Times New Roman" w:hAnsi="Times New Roman" w:eastAsia="Times New Roman" w:cs="Times New Roman"/>
          <w:b/>
        </w:rPr>
      </w:pPr>
      <w:r>
        <w:rPr>
          <w:rFonts w:eastAsia="Times New Roman" w:cs="Times New Roman" w:ascii="Times New Roman" w:hAnsi="Times New Roman"/>
          <w:b/>
        </w:rPr>
      </w:r>
    </w:p>
    <w:p>
      <w:pPr>
        <w:pStyle w:val="Normal"/>
        <w:spacing w:before="240" w:after="240"/>
        <w:jc w:val="center"/>
        <w:rPr>
          <w:rFonts w:ascii="Times New Roman" w:hAnsi="Times New Roman" w:eastAsia="Times New Roman" w:cs="Times New Roman"/>
          <w:b/>
        </w:rPr>
      </w:pPr>
      <w:r>
        <w:rPr>
          <w:rFonts w:eastAsia="Times New Roman" w:cs="Times New Roman" w:ascii="Times New Roman" w:hAnsi="Times New Roman"/>
          <w:b/>
        </w:rPr>
      </w:r>
    </w:p>
    <w:p>
      <w:pPr>
        <w:pStyle w:val="Normal"/>
        <w:spacing w:before="240" w:after="240"/>
        <w:jc w:val="center"/>
        <w:rPr>
          <w:rFonts w:ascii="Times New Roman" w:hAnsi="Times New Roman" w:eastAsia="Times New Roman" w:cs="Times New Roman"/>
          <w:b/>
        </w:rPr>
      </w:pPr>
      <w:r>
        <w:rPr>
          <w:rFonts w:eastAsia="Times New Roman" w:cs="Times New Roman" w:ascii="Times New Roman" w:hAnsi="Times New Roman"/>
          <w:b/>
        </w:rPr>
        <w:t>8. АДРЕСА, РЕКВИЗИТЫ И ПОДПИСИ СТОРОН:</w:t>
      </w:r>
    </w:p>
    <w:tbl>
      <w:tblPr>
        <w:tblStyle w:val="af0"/>
        <w:tblW w:w="10200" w:type="dxa"/>
        <w:jc w:val="left"/>
        <w:tblInd w:w="-180" w:type="dxa"/>
        <w:tblLayout w:type="fixed"/>
        <w:tblCellMar>
          <w:top w:w="100" w:type="dxa"/>
          <w:left w:w="100" w:type="dxa"/>
          <w:bottom w:w="100" w:type="dxa"/>
          <w:right w:w="100" w:type="dxa"/>
        </w:tblCellMar>
        <w:tblLook w:firstRow="0" w:noVBand="1" w:lastRow="0" w:firstColumn="0" w:lastColumn="0" w:noHBand="1" w:val="0600"/>
      </w:tblPr>
      <w:tblGrid>
        <w:gridCol w:w="4739"/>
        <w:gridCol w:w="5460"/>
      </w:tblGrid>
      <w:tr>
        <w:trPr>
          <w:trHeight w:val="5015" w:hRule="atLeast"/>
        </w:trPr>
        <w:tc>
          <w:tcPr>
            <w:tcW w:w="4739" w:type="dxa"/>
            <w:tcBorders/>
          </w:tcPr>
          <w:p>
            <w:pPr>
              <w:pStyle w:val="Normal"/>
              <w:widowControl w:val="false"/>
              <w:spacing w:before="240" w:after="240"/>
              <w:ind w:left="-60" w:hanging="0"/>
              <w:jc w:val="both"/>
              <w:rPr>
                <w:rFonts w:ascii="Times New Roman" w:hAnsi="Times New Roman" w:eastAsia="Times New Roman" w:cs="Times New Roman"/>
              </w:rPr>
            </w:pPr>
            <w:r>
              <w:rPr>
                <w:rFonts w:eastAsia="Times New Roman" w:cs="Times New Roman" w:ascii="Times New Roman" w:hAnsi="Times New Roman"/>
                <w:b/>
              </w:rPr>
              <w:t>«Застройщик»</w:t>
            </w:r>
          </w:p>
          <w:p>
            <w:pPr>
              <w:pStyle w:val="Normal"/>
              <w:widowControl w:val="false"/>
              <w:spacing w:before="240" w:after="240"/>
              <w:ind w:left="-60" w:hanging="0"/>
              <w:rPr>
                <w:rFonts w:ascii="Times New Roman" w:hAnsi="Times New Roman" w:eastAsia="Times New Roman" w:cs="Times New Roman"/>
                <w:b/>
              </w:rPr>
            </w:pPr>
            <w:r>
              <w:rPr>
                <w:rFonts w:eastAsia="Times New Roman" w:cs="Times New Roman" w:ascii="Times New Roman" w:hAnsi="Times New Roman"/>
                <w:b/>
              </w:rPr>
              <w:t>ООО СЗ "ЗСК №1"</w:t>
            </w:r>
          </w:p>
          <w:p>
            <w:pPr>
              <w:pStyle w:val="Normal"/>
              <w:widowControl w:val="false"/>
              <w:spacing w:before="240" w:after="240"/>
              <w:ind w:left="-60" w:hanging="0"/>
              <w:rPr>
                <w:rFonts w:ascii="Times New Roman" w:hAnsi="Times New Roman" w:eastAsia="Times New Roman" w:cs="Times New Roman"/>
              </w:rPr>
            </w:pPr>
            <w:r>
              <w:rPr>
                <w:rFonts w:eastAsia="Times New Roman" w:cs="Times New Roman" w:ascii="Times New Roman" w:hAnsi="Times New Roman"/>
              </w:rPr>
              <w:t xml:space="preserve">644065, Омская область, г. Омск, ул. 1-я Заводская, д.35, оф.14 </w:t>
            </w:r>
          </w:p>
          <w:p>
            <w:pPr>
              <w:pStyle w:val="Normal"/>
              <w:widowControl w:val="false"/>
              <w:spacing w:before="240" w:after="240"/>
              <w:ind w:left="-60" w:hanging="0"/>
              <w:rPr>
                <w:rFonts w:ascii="Times New Roman" w:hAnsi="Times New Roman" w:eastAsia="Times New Roman" w:cs="Times New Roman"/>
              </w:rPr>
            </w:pPr>
            <w:r>
              <w:rPr>
                <w:rFonts w:eastAsia="Times New Roman" w:cs="Times New Roman" w:ascii="Times New Roman" w:hAnsi="Times New Roman"/>
              </w:rPr>
              <w:t>ИНН  5528211231 КПП 550101001</w:t>
              <w:br/>
              <w:t>ОГРН 1135543030182</w:t>
              <w:br/>
              <w:t>р/сч 40702810100000002493</w:t>
              <w:br/>
              <w:t>в АО «ИТ Банк»</w:t>
              <w:br/>
              <w:t xml:space="preserve"> к/сч  30101810750045209702</w:t>
              <w:br/>
              <w:t>БИК  045209702</w:t>
            </w:r>
          </w:p>
          <w:p>
            <w:pPr>
              <w:pStyle w:val="Normal"/>
              <w:widowControl w:val="false"/>
              <w:spacing w:before="240" w:after="240"/>
              <w:ind w:left="-60" w:hanging="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before="240" w:after="240"/>
              <w:ind w:left="-60" w:hanging="0"/>
              <w:jc w:val="both"/>
              <w:rPr>
                <w:rFonts w:ascii="Times New Roman" w:hAnsi="Times New Roman" w:eastAsia="Times New Roman" w:cs="Times New Roman"/>
              </w:rPr>
            </w:pPr>
            <w:r>
              <w:rPr>
                <w:rFonts w:eastAsia="Times New Roman" w:cs="Times New Roman" w:ascii="Times New Roman" w:hAnsi="Times New Roman"/>
              </w:rPr>
              <w:t>Директор__________________ Канев А.П.</w:t>
            </w:r>
          </w:p>
          <w:p>
            <w:pPr>
              <w:pStyle w:val="Normal"/>
              <w:widowControl w:val="false"/>
              <w:spacing w:before="240" w:after="240"/>
              <w:ind w:left="-60" w:hanging="0"/>
              <w:jc w:val="both"/>
              <w:rPr>
                <w:rFonts w:ascii="Times New Roman" w:hAnsi="Times New Roman" w:eastAsia="Times New Roman" w:cs="Times New Roman"/>
              </w:rPr>
            </w:pPr>
            <w:r>
              <w:rPr>
                <w:rFonts w:eastAsia="Times New Roman" w:cs="Times New Roman" w:ascii="Times New Roman" w:hAnsi="Times New Roman"/>
              </w:rPr>
            </w:r>
          </w:p>
        </w:tc>
        <w:tc>
          <w:tcPr>
            <w:tcW w:w="5460" w:type="dxa"/>
            <w:tcBorders/>
          </w:tcPr>
          <w:p>
            <w:pPr>
              <w:pStyle w:val="Normal"/>
              <w:widowControl w:val="false"/>
              <w:spacing w:before="240" w:after="240"/>
              <w:ind w:left="-60" w:hanging="0"/>
              <w:rPr>
                <w:rFonts w:ascii="Times New Roman" w:hAnsi="Times New Roman" w:eastAsia="Times New Roman" w:cs="Times New Roman"/>
                <w:b/>
              </w:rPr>
            </w:pPr>
            <w:r>
              <w:rPr>
                <w:rFonts w:eastAsia="Times New Roman" w:cs="Times New Roman" w:ascii="Times New Roman" w:hAnsi="Times New Roman"/>
                <w:b/>
              </w:rPr>
              <w:t>«Участник долевого строительства»</w:t>
            </w:r>
          </w:p>
          <w:p>
            <w:pPr>
              <w:pStyle w:val="Normal"/>
              <w:widowControl w:val="false"/>
              <w:shd w:val="clear" w:color="auto" w:fill="FFFFFF"/>
              <w:spacing w:before="240" w:after="240"/>
              <w:ind w:left="-60" w:hanging="0"/>
              <w:rPr>
                <w:rFonts w:ascii="Times New Roman" w:hAnsi="Times New Roman" w:eastAsia="Times New Roman" w:cs="Times New Roman"/>
                <w:highlight w:val="yellow"/>
              </w:rPr>
            </w:pPr>
            <w:r>
              <w:rPr>
                <w:rFonts w:eastAsia="Times New Roman" w:cs="Times New Roman" w:ascii="Times New Roman" w:hAnsi="Times New Roman"/>
                <w:highlight w:val="yellow"/>
              </w:rPr>
              <w:t>Иванов Иван Иванович, 09.09.1991 г.р.</w:t>
            </w:r>
          </w:p>
          <w:p>
            <w:pPr>
              <w:pStyle w:val="Normal"/>
              <w:widowControl w:val="false"/>
              <w:shd w:val="clear" w:color="auto" w:fill="FFFFFF"/>
              <w:spacing w:before="240" w:after="240"/>
              <w:ind w:left="-60" w:hanging="0"/>
              <w:rPr>
                <w:rFonts w:ascii="Times New Roman" w:hAnsi="Times New Roman" w:eastAsia="Times New Roman" w:cs="Times New Roman"/>
                <w:highlight w:val="yellow"/>
              </w:rPr>
            </w:pPr>
            <w:r>
              <w:rPr>
                <w:rFonts w:eastAsia="Times New Roman" w:cs="Times New Roman" w:ascii="Times New Roman" w:hAnsi="Times New Roman"/>
              </w:rPr>
              <w:t xml:space="preserve">зарегистрированный по адресу: </w:t>
            </w:r>
            <w:r>
              <w:rPr>
                <w:rFonts w:eastAsia="Times New Roman" w:cs="Times New Roman" w:ascii="Times New Roman" w:hAnsi="Times New Roman"/>
                <w:highlight w:val="yellow"/>
              </w:rPr>
              <w:t>_______________________________________</w:t>
            </w:r>
          </w:p>
          <w:p>
            <w:pPr>
              <w:pStyle w:val="Normal"/>
              <w:widowControl w:val="false"/>
              <w:shd w:val="clear" w:color="auto" w:fill="FFFFFF"/>
              <w:spacing w:before="240" w:after="240"/>
              <w:ind w:left="-60" w:hanging="0"/>
              <w:rPr>
                <w:rFonts w:ascii="Times New Roman" w:hAnsi="Times New Roman" w:eastAsia="Times New Roman" w:cs="Times New Roman"/>
              </w:rPr>
            </w:pPr>
            <w:r>
              <w:rPr>
                <w:rFonts w:eastAsia="Times New Roman" w:cs="Times New Roman" w:ascii="Times New Roman" w:hAnsi="Times New Roman"/>
              </w:rPr>
              <w:t xml:space="preserve">адрес электронной почты: </w:t>
            </w:r>
            <w:r>
              <w:rPr>
                <w:rFonts w:eastAsia="Times New Roman" w:cs="Times New Roman" w:ascii="Times New Roman" w:hAnsi="Times New Roman"/>
                <w:highlight w:val="yellow"/>
              </w:rPr>
              <w:t>_______________________________________</w:t>
            </w:r>
          </w:p>
          <w:p>
            <w:pPr>
              <w:pStyle w:val="Normal"/>
              <w:widowControl w:val="false"/>
              <w:spacing w:before="240" w:after="240"/>
              <w:ind w:left="-60" w:hanging="0"/>
              <w:rPr>
                <w:rFonts w:ascii="Times New Roman" w:hAnsi="Times New Roman" w:eastAsia="Times New Roman" w:cs="Times New Roman"/>
              </w:rPr>
            </w:pPr>
            <w:r>
              <w:rPr>
                <w:rFonts w:eastAsia="Times New Roman" w:cs="Times New Roman" w:ascii="Times New Roman" w:hAnsi="Times New Roman"/>
              </w:rPr>
            </w:r>
          </w:p>
          <w:p>
            <w:pPr>
              <w:pStyle w:val="Normal"/>
              <w:widowControl w:val="false"/>
              <w:spacing w:before="240" w:after="240"/>
              <w:ind w:left="-60" w:hanging="0"/>
              <w:rPr>
                <w:rFonts w:ascii="Times New Roman" w:hAnsi="Times New Roman" w:eastAsia="Times New Roman" w:cs="Times New Roman"/>
              </w:rPr>
            </w:pPr>
            <w:r>
              <w:rPr>
                <w:rFonts w:eastAsia="Times New Roman" w:cs="Times New Roman" w:ascii="Times New Roman" w:hAnsi="Times New Roman"/>
              </w:rPr>
            </w:r>
          </w:p>
          <w:tbl>
            <w:tblPr>
              <w:tblStyle w:val="af1"/>
              <w:tblW w:w="4015"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4015"/>
            </w:tblGrid>
            <w:tr>
              <w:trPr>
                <w:trHeight w:val="485" w:hRule="atLeast"/>
              </w:trPr>
              <w:tc>
                <w:tcPr>
                  <w:tcW w:w="4015" w:type="dxa"/>
                  <w:tcBorders/>
                </w:tcPr>
                <w:p>
                  <w:pPr>
                    <w:pStyle w:val="Normal"/>
                    <w:widowControl w:val="false"/>
                    <w:spacing w:before="240" w:after="240"/>
                    <w:ind w:left="-60" w:hanging="0"/>
                    <w:rPr>
                      <w:rFonts w:ascii="Times New Roman" w:hAnsi="Times New Roman" w:eastAsia="Times New Roman" w:cs="Times New Roman"/>
                    </w:rPr>
                  </w:pPr>
                  <w:r>
                    <w:rPr>
                      <w:rFonts w:eastAsia="Times New Roman" w:cs="Times New Roman" w:ascii="Times New Roman" w:hAnsi="Times New Roman"/>
                      <w:highlight w:val="yellow"/>
                    </w:rPr>
                    <w:t>___________________________________Иванов Иван Иванович</w:t>
                  </w:r>
                </w:p>
              </w:tc>
            </w:tr>
          </w:tbl>
          <w:p>
            <w:pPr>
              <w:pStyle w:val="Normal"/>
              <w:widowControl w:val="false"/>
              <w:rPr>
                <w:rFonts w:ascii="Times New Roman" w:hAnsi="Times New Roman" w:eastAsia="Times New Roman" w:cs="Times New Roman"/>
                <w:b/>
              </w:rPr>
            </w:pPr>
            <w:r>
              <w:rPr>
                <w:rFonts w:eastAsia="Times New Roman" w:cs="Times New Roman" w:ascii="Times New Roman" w:hAnsi="Times New Roman"/>
                <w:b/>
              </w:rPr>
            </w:r>
          </w:p>
        </w:tc>
      </w:tr>
    </w:tbl>
    <w:p>
      <w:pPr>
        <w:pStyle w:val="Normal"/>
        <w:spacing w:before="240" w:after="240"/>
        <w:ind w:left="-60" w:hanging="0"/>
        <w:jc w:val="righ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240" w:after="240"/>
        <w:ind w:left="-6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240" w:after="240"/>
        <w:ind w:left="-6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240" w:after="240"/>
        <w:ind w:left="-6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240" w:after="240"/>
        <w:ind w:left="-6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240" w:after="240"/>
        <w:ind w:left="-60" w:hanging="0"/>
        <w:rPr/>
      </w:pPr>
      <w:r>
        <w:rPr/>
      </w:r>
    </w:p>
    <w:sectPr>
      <w:headerReference w:type="default" r:id="rId2"/>
      <w:type w:val="nextPage"/>
      <w:pgSz w:w="11906" w:h="16838"/>
      <w:pgMar w:left="1559" w:right="720" w:gutter="0" w:header="720" w:top="992" w:footer="0" w:bottom="992"/>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cc"/>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w:charset w:val="cc"/>
    <w:family w:val="roman"/>
    <w:pitch w:val="variable"/>
  </w:font>
  <w:font w:name="Liberation Sans">
    <w:altName w:val="Arial"/>
    <w:charset w:val="cc"/>
    <w:family w:val="swiss"/>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Times New Roman">
    <w:charset w:val="cc"/>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Wingdings">
    <w:charset w:val="02"/>
    <w:family w:val="auto"/>
    <w:pitch w:val="default"/>
    <w:embedRegular r:id="rId18" w:fontKey="{12014A78-CABC-4EF0-12AC-5CD89AEFDE12}"/>
  </w:font>
  <w:font w:name="Wingdings 2">
    <w:charset w:val="02"/>
    <w:family w:val="auto"/>
    <w:pitch w:val="default"/>
  </w:font>
  <w:font w:name="OpenSymbol">
    <w:altName w:val="Arial Unicode MS"/>
    <w:charset w:val="01"/>
    <w:family w:val="auto"/>
    <w:pitch w:val="default"/>
    <w:embedRegular r:id="rId19" w:fontKey="{13014A78-CABC-4EF0-12AC-5CD89AEFDE13}"/>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embedTrueTypeFonts/>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ru-RU" w:eastAsia="ru-RU"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0"/>
      <w:jc w:val="left"/>
    </w:pPr>
    <w:rPr>
      <w:rFonts w:ascii="Arial" w:hAnsi="Arial" w:eastAsia="Arial" w:cs="Arial"/>
      <w:color w:val="auto"/>
      <w:kern w:val="0"/>
      <w:sz w:val="22"/>
      <w:szCs w:val="22"/>
      <w:lang w:val="ru-RU" w:eastAsia="ru-RU" w:bidi="ar-SA"/>
    </w:rPr>
  </w:style>
  <w:style w:type="paragraph" w:styleId="1">
    <w:name w:val="Heading 1"/>
    <w:basedOn w:val="Normal"/>
    <w:next w:val="Normal"/>
    <w:uiPriority w:val="9"/>
    <w:qFormat/>
    <w:pPr>
      <w:keepNext w:val="true"/>
      <w:keepLines/>
      <w:spacing w:before="400" w:after="120"/>
      <w:outlineLvl w:val="0"/>
    </w:pPr>
    <w:rPr>
      <w:sz w:val="40"/>
      <w:szCs w:val="40"/>
    </w:rPr>
  </w:style>
  <w:style w:type="paragraph" w:styleId="2">
    <w:name w:val="Heading 2"/>
    <w:basedOn w:val="Normal"/>
    <w:next w:val="Normal"/>
    <w:uiPriority w:val="9"/>
    <w:semiHidden/>
    <w:unhideWhenUsed/>
    <w:qFormat/>
    <w:pPr>
      <w:keepNext w:val="true"/>
      <w:keepLines/>
      <w:spacing w:before="360" w:after="120"/>
      <w:outlineLvl w:val="1"/>
    </w:pPr>
    <w:rPr>
      <w:sz w:val="32"/>
      <w:szCs w:val="32"/>
    </w:rPr>
  </w:style>
  <w:style w:type="paragraph" w:styleId="3">
    <w:name w:val="Heading 3"/>
    <w:basedOn w:val="Normal"/>
    <w:next w:val="Normal"/>
    <w:uiPriority w:val="9"/>
    <w:semiHidden/>
    <w:unhideWhenUsed/>
    <w:qFormat/>
    <w:pPr>
      <w:keepNext w:val="true"/>
      <w:keepLines/>
      <w:spacing w:before="320" w:after="80"/>
      <w:outlineLvl w:val="2"/>
    </w:pPr>
    <w:rPr>
      <w:color w:val="434343"/>
      <w:sz w:val="28"/>
      <w:szCs w:val="28"/>
    </w:rPr>
  </w:style>
  <w:style w:type="paragraph" w:styleId="4">
    <w:name w:val="Heading 4"/>
    <w:basedOn w:val="Normal"/>
    <w:next w:val="Normal"/>
    <w:uiPriority w:val="9"/>
    <w:semiHidden/>
    <w:unhideWhenUsed/>
    <w:qFormat/>
    <w:pPr>
      <w:keepNext w:val="true"/>
      <w:keepLines/>
      <w:spacing w:before="280" w:after="80"/>
      <w:outlineLvl w:val="3"/>
    </w:pPr>
    <w:rPr>
      <w:color w:val="666666"/>
      <w:sz w:val="24"/>
      <w:szCs w:val="24"/>
    </w:rPr>
  </w:style>
  <w:style w:type="paragraph" w:styleId="5">
    <w:name w:val="Heading 5"/>
    <w:basedOn w:val="Normal"/>
    <w:next w:val="Normal"/>
    <w:uiPriority w:val="9"/>
    <w:semiHidden/>
    <w:unhideWhenUsed/>
    <w:qFormat/>
    <w:pPr>
      <w:keepNext w:val="true"/>
      <w:keepLines/>
      <w:spacing w:before="240" w:after="80"/>
      <w:outlineLvl w:val="4"/>
    </w:pPr>
    <w:rPr>
      <w:color w:val="666666"/>
    </w:rPr>
  </w:style>
  <w:style w:type="paragraph" w:styleId="6">
    <w:name w:val="Heading 6"/>
    <w:basedOn w:val="Normal"/>
    <w:next w:val="Normal"/>
    <w:uiPriority w:val="9"/>
    <w:semiHidden/>
    <w:unhideWhenUsed/>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paragraph" w:styleId="Style3">
    <w:name w:val="Заголовок"/>
    <w:basedOn w:val="Normal"/>
    <w:next w:val="Style4"/>
    <w:qFormat/>
    <w:pPr>
      <w:keepNext w:val="true"/>
      <w:spacing w:before="240" w:after="120"/>
    </w:pPr>
    <w:rPr>
      <w:rFonts w:ascii="Liberation Sans" w:hAnsi="Liberation Sans" w:eastAsia="Microsoft YaHei" w:cs="Arial"/>
      <w:sz w:val="28"/>
      <w:szCs w:val="28"/>
    </w:rPr>
  </w:style>
  <w:style w:type="paragraph" w:styleId="Style4">
    <w:name w:val="Body Text"/>
    <w:basedOn w:val="Normal"/>
    <w:pPr>
      <w:spacing w:lineRule="auto" w:line="276" w:before="0" w:after="140"/>
    </w:pPr>
    <w:rPr/>
  </w:style>
  <w:style w:type="paragraph" w:styleId="Style5">
    <w:name w:val="List"/>
    <w:basedOn w:val="Style4"/>
    <w:pPr/>
    <w:rPr>
      <w:rFonts w:cs="Arial"/>
    </w:rPr>
  </w:style>
  <w:style w:type="paragraph" w:styleId="Style6">
    <w:name w:val="Caption"/>
    <w:basedOn w:val="Normal"/>
    <w:qFormat/>
    <w:pPr>
      <w:suppressLineNumbers/>
      <w:spacing w:before="120" w:after="120"/>
    </w:pPr>
    <w:rPr>
      <w:rFonts w:cs="Arial"/>
      <w:i/>
      <w:iCs/>
      <w:sz w:val="24"/>
      <w:szCs w:val="24"/>
    </w:rPr>
  </w:style>
  <w:style w:type="paragraph" w:styleId="Style7">
    <w:name w:val="Указатель"/>
    <w:basedOn w:val="Normal"/>
    <w:qFormat/>
    <w:pPr>
      <w:suppressLineNumbers/>
    </w:pPr>
    <w:rPr>
      <w:rFonts w:cs="Arial"/>
    </w:rPr>
  </w:style>
  <w:style w:type="paragraph" w:styleId="Style8">
    <w:name w:val="Title"/>
    <w:basedOn w:val="Normal"/>
    <w:next w:val="Normal"/>
    <w:uiPriority w:val="10"/>
    <w:qFormat/>
    <w:pPr>
      <w:keepNext w:val="true"/>
      <w:keepLines/>
      <w:spacing w:before="0" w:after="60"/>
    </w:pPr>
    <w:rPr>
      <w:sz w:val="52"/>
      <w:szCs w:val="52"/>
    </w:rPr>
  </w:style>
  <w:style w:type="paragraph" w:styleId="Style9">
    <w:name w:val="Subtitle"/>
    <w:basedOn w:val="Normal"/>
    <w:next w:val="Normal"/>
    <w:uiPriority w:val="11"/>
    <w:qFormat/>
    <w:pPr>
      <w:keepNext w:val="true"/>
      <w:keepLines/>
      <w:spacing w:before="0" w:after="320"/>
    </w:pPr>
    <w:rPr>
      <w:color w:val="666666"/>
      <w:sz w:val="30"/>
      <w:szCs w:val="30"/>
    </w:rPr>
  </w:style>
  <w:style w:type="paragraph" w:styleId="Style10">
    <w:name w:val="Колонтитул"/>
    <w:basedOn w:val="Normal"/>
    <w:qFormat/>
    <w:pPr/>
    <w:rPr/>
  </w:style>
  <w:style w:type="paragraph" w:styleId="Style11">
    <w:name w:val="Header"/>
    <w:basedOn w:val="Style10"/>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Normal"/>
    <w:tblPr>
      <w:tblCellMar>
        <w:top w:w="100" w:type="dxa"/>
        <w:left w:w="100" w:type="dxa"/>
        <w:bottom w:w="100" w:type="dxa"/>
        <w:right w:w="100"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Relationship Id="rId19" Type="http://schemas.openxmlformats.org/officeDocument/2006/relationships/font" Target="fonts/font19.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Q+uGIH/VP6sAemhl8eBgUKbp/Ng==">CgMxLjA4AHIhMUpzQmtVWmZwbTB2WDFmTzZFblNCNEU0MXNZVlhvckxS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TotalTime>
  <Application>LibreOffice/7.5.0.3$Windows_X86_64 LibreOffice_project/c21113d003cd3efa8c53188764377a8272d9d6de</Application>
  <AppVersion>15.0000</AppVersion>
  <Pages>15</Pages>
  <Words>4699</Words>
  <Characters>34291</Characters>
  <CharactersWithSpaces>39011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2025-11-10T05:14:00Z</dcterms:created>
  <dc:creator/>
  <dc:description/>
  <dc:language>ru-RU</dc:language>
  <cp:lastModifiedBy/>
  <cp:lastPrinted>2025-11-10T06:01:00Z</cp:lastPrinted>
  <dcterms:modified xsi:type="dcterms:W3CDTF">2025-11-10T18:23:16Z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